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E8" w:rsidRDefault="00E62AA3" w:rsidP="00012DE8">
      <w:pPr>
        <w:jc w:val="center"/>
        <w:rPr>
          <w:b/>
        </w:rPr>
      </w:pPr>
      <w:r>
        <w:rPr>
          <w:b/>
        </w:rPr>
        <w:t xml:space="preserve">SREDIŠNJI </w:t>
      </w:r>
      <w:r w:rsidR="008A36F9">
        <w:rPr>
          <w:b/>
        </w:rPr>
        <w:t>DRŽAVNI URED ZA OBNOVU I STA</w:t>
      </w:r>
      <w:r w:rsidR="00882CF0">
        <w:rPr>
          <w:b/>
        </w:rPr>
        <w:t xml:space="preserve">MBENO ZBRINJAVANJE </w:t>
      </w:r>
    </w:p>
    <w:p w:rsidR="00F61147" w:rsidRDefault="00882CF0" w:rsidP="00012DE8">
      <w:pPr>
        <w:jc w:val="center"/>
        <w:rPr>
          <w:b/>
        </w:rPr>
      </w:pPr>
      <w:r>
        <w:rPr>
          <w:b/>
        </w:rPr>
        <w:t xml:space="preserve"> </w:t>
      </w:r>
      <w:r w:rsidR="008640C5">
        <w:rPr>
          <w:b/>
        </w:rPr>
        <w:t>GLAVA</w:t>
      </w:r>
      <w:r>
        <w:rPr>
          <w:b/>
        </w:rPr>
        <w:t xml:space="preserve"> 03305</w:t>
      </w:r>
    </w:p>
    <w:p w:rsidR="003344B4" w:rsidRDefault="003344B4" w:rsidP="000F2EC6">
      <w:pPr>
        <w:jc w:val="center"/>
        <w:rPr>
          <w:b/>
        </w:rPr>
      </w:pPr>
    </w:p>
    <w:p w:rsidR="003344B4" w:rsidRDefault="003344B4" w:rsidP="000F2EC6">
      <w:pPr>
        <w:jc w:val="center"/>
        <w:rPr>
          <w:b/>
        </w:rPr>
      </w:pPr>
    </w:p>
    <w:p w:rsidR="00A443DB" w:rsidRDefault="00A443DB" w:rsidP="00A443DB">
      <w:pPr>
        <w:jc w:val="both"/>
        <w:rPr>
          <w:b/>
        </w:rPr>
      </w:pPr>
    </w:p>
    <w:p w:rsidR="00572CFF" w:rsidRDefault="00A443DB" w:rsidP="00A443DB">
      <w:pPr>
        <w:jc w:val="center"/>
        <w:rPr>
          <w:b/>
          <w:sz w:val="28"/>
          <w:szCs w:val="28"/>
        </w:rPr>
      </w:pPr>
      <w:r w:rsidRPr="00572CFF">
        <w:rPr>
          <w:b/>
          <w:sz w:val="28"/>
          <w:szCs w:val="28"/>
        </w:rPr>
        <w:t xml:space="preserve">BILJEŠKE UZ </w:t>
      </w:r>
      <w:r w:rsidR="006E0C26" w:rsidRPr="00572CFF">
        <w:rPr>
          <w:b/>
          <w:sz w:val="28"/>
          <w:szCs w:val="28"/>
        </w:rPr>
        <w:t xml:space="preserve">FINANCIJSKA IZVJEŠĆA </w:t>
      </w:r>
      <w:r w:rsidRPr="00572CFF">
        <w:rPr>
          <w:b/>
          <w:sz w:val="28"/>
          <w:szCs w:val="28"/>
        </w:rPr>
        <w:t xml:space="preserve"> </w:t>
      </w:r>
      <w:r w:rsidR="00F61147" w:rsidRPr="00572CFF">
        <w:rPr>
          <w:b/>
          <w:sz w:val="28"/>
          <w:szCs w:val="28"/>
        </w:rPr>
        <w:t>za</w:t>
      </w:r>
      <w:r w:rsidRPr="00572CFF">
        <w:rPr>
          <w:b/>
          <w:sz w:val="28"/>
          <w:szCs w:val="28"/>
        </w:rPr>
        <w:t xml:space="preserve"> razdoblje </w:t>
      </w:r>
    </w:p>
    <w:p w:rsidR="00A443DB" w:rsidRPr="00572CFF" w:rsidRDefault="00842DBD" w:rsidP="00A443DB">
      <w:pPr>
        <w:jc w:val="center"/>
        <w:rPr>
          <w:b/>
          <w:sz w:val="28"/>
          <w:szCs w:val="28"/>
        </w:rPr>
      </w:pPr>
      <w:r w:rsidRPr="00572CFF">
        <w:rPr>
          <w:b/>
          <w:sz w:val="28"/>
          <w:szCs w:val="28"/>
        </w:rPr>
        <w:t xml:space="preserve">siječanj – </w:t>
      </w:r>
      <w:r w:rsidR="00270E32" w:rsidRPr="00572CFF">
        <w:rPr>
          <w:b/>
          <w:sz w:val="28"/>
          <w:szCs w:val="28"/>
        </w:rPr>
        <w:t>prosinac</w:t>
      </w:r>
      <w:r w:rsidRPr="00572CFF">
        <w:rPr>
          <w:b/>
          <w:sz w:val="28"/>
          <w:szCs w:val="28"/>
        </w:rPr>
        <w:t xml:space="preserve"> </w:t>
      </w:r>
      <w:r w:rsidR="00BE2C09">
        <w:rPr>
          <w:b/>
          <w:sz w:val="28"/>
          <w:szCs w:val="28"/>
        </w:rPr>
        <w:t>202</w:t>
      </w:r>
      <w:r w:rsidR="00F6421C">
        <w:rPr>
          <w:b/>
          <w:sz w:val="28"/>
          <w:szCs w:val="28"/>
        </w:rPr>
        <w:t>1</w:t>
      </w:r>
      <w:r w:rsidR="00A443DB" w:rsidRPr="00572CFF">
        <w:rPr>
          <w:b/>
          <w:sz w:val="28"/>
          <w:szCs w:val="28"/>
        </w:rPr>
        <w:t xml:space="preserve">. </w:t>
      </w:r>
      <w:r w:rsidR="00F61147" w:rsidRPr="00572CFF">
        <w:rPr>
          <w:b/>
          <w:sz w:val="28"/>
          <w:szCs w:val="28"/>
        </w:rPr>
        <w:t>godine</w:t>
      </w:r>
    </w:p>
    <w:p w:rsidR="003344B4" w:rsidRPr="00572CFF" w:rsidRDefault="003344B4" w:rsidP="00A443DB">
      <w:pPr>
        <w:jc w:val="center"/>
        <w:rPr>
          <w:b/>
          <w:sz w:val="28"/>
          <w:szCs w:val="28"/>
        </w:rPr>
      </w:pPr>
    </w:p>
    <w:p w:rsidR="000F2EC6" w:rsidRDefault="000F2EC6" w:rsidP="00A443DB">
      <w:pPr>
        <w:jc w:val="center"/>
        <w:rPr>
          <w:b/>
        </w:rPr>
      </w:pPr>
    </w:p>
    <w:p w:rsidR="00A443DB" w:rsidRDefault="00A443DB" w:rsidP="00A443DB">
      <w:pPr>
        <w:jc w:val="both"/>
        <w:rPr>
          <w:b/>
        </w:rPr>
      </w:pPr>
    </w:p>
    <w:p w:rsidR="00A443DB" w:rsidRDefault="00882CF0" w:rsidP="00FD2865">
      <w:pPr>
        <w:pBdr>
          <w:top w:val="single" w:sz="4" w:space="1" w:color="auto"/>
          <w:left w:val="single" w:sz="4" w:space="4" w:color="auto"/>
          <w:bottom w:val="single" w:sz="4" w:space="1" w:color="auto"/>
          <w:right w:val="single" w:sz="4" w:space="4" w:color="auto"/>
        </w:pBdr>
        <w:jc w:val="both"/>
        <w:rPr>
          <w:b/>
        </w:rPr>
      </w:pPr>
      <w:r>
        <w:rPr>
          <w:b/>
        </w:rPr>
        <w:t>BILJEŠKE O PRIHODIMA I RASHODIMA, PRIMICIMA  I IZDACIMA</w:t>
      </w:r>
    </w:p>
    <w:p w:rsidR="000F2EC6" w:rsidRDefault="000F2EC6" w:rsidP="00A443DB">
      <w:pPr>
        <w:jc w:val="both"/>
        <w:rPr>
          <w:b/>
        </w:rPr>
      </w:pPr>
    </w:p>
    <w:p w:rsidR="00A443DB" w:rsidRPr="00CE6CD3" w:rsidRDefault="00A443DB" w:rsidP="00F61147">
      <w:pPr>
        <w:jc w:val="both"/>
        <w:rPr>
          <w:b/>
          <w:u w:val="single"/>
        </w:rPr>
      </w:pPr>
      <w:r w:rsidRPr="00CE6CD3">
        <w:rPr>
          <w:b/>
        </w:rPr>
        <w:t xml:space="preserve">Planirani i ostvareni prihodi </w:t>
      </w:r>
      <w:r w:rsidR="0024572F" w:rsidRPr="00CE6CD3">
        <w:rPr>
          <w:b/>
        </w:rPr>
        <w:t>i primici</w:t>
      </w:r>
      <w:r w:rsidRPr="00CE6CD3">
        <w:rPr>
          <w:b/>
          <w:u w:val="single"/>
        </w:rPr>
        <w:t xml:space="preserve"> </w:t>
      </w:r>
    </w:p>
    <w:p w:rsidR="00A443DB" w:rsidRPr="00CE6CD3" w:rsidRDefault="00A443DB" w:rsidP="00A443DB">
      <w:pPr>
        <w:jc w:val="both"/>
        <w:rPr>
          <w:b/>
        </w:rPr>
      </w:pPr>
    </w:p>
    <w:p w:rsidR="00A443DB" w:rsidRDefault="00D23040" w:rsidP="00DF4009">
      <w:pPr>
        <w:ind w:right="-284"/>
        <w:jc w:val="both"/>
      </w:pPr>
      <w:r w:rsidRPr="00D81DC1">
        <w:t xml:space="preserve">U </w:t>
      </w:r>
      <w:r w:rsidR="00A443DB" w:rsidRPr="00D81DC1">
        <w:t>Državn</w:t>
      </w:r>
      <w:r w:rsidRPr="00D81DC1">
        <w:t>o</w:t>
      </w:r>
      <w:r w:rsidR="00A443DB" w:rsidRPr="00D81DC1">
        <w:t>m proračun</w:t>
      </w:r>
      <w:r w:rsidRPr="00D81DC1">
        <w:t>u</w:t>
      </w:r>
      <w:r w:rsidR="00A443DB" w:rsidRPr="00D81DC1">
        <w:t xml:space="preserve"> Republike Hrvatske za </w:t>
      </w:r>
      <w:r w:rsidR="0082578A">
        <w:t>202</w:t>
      </w:r>
      <w:r w:rsidR="0072643A">
        <w:t>1</w:t>
      </w:r>
      <w:r w:rsidR="00C46B69" w:rsidRPr="00D81DC1">
        <w:t>.</w:t>
      </w:r>
      <w:r w:rsidR="00A443DB" w:rsidRPr="00D81DC1">
        <w:t xml:space="preserve"> godin</w:t>
      </w:r>
      <w:r w:rsidR="00C46B69" w:rsidRPr="00D81DC1">
        <w:t>u</w:t>
      </w:r>
      <w:r w:rsidR="00AA0343" w:rsidRPr="00D81DC1">
        <w:t>, u r</w:t>
      </w:r>
      <w:r w:rsidR="00A443DB" w:rsidRPr="00D81DC1">
        <w:t>azdjelu 0</w:t>
      </w:r>
      <w:r w:rsidR="008A36F9" w:rsidRPr="00D81DC1">
        <w:t>33</w:t>
      </w:r>
      <w:r w:rsidR="00A443DB" w:rsidRPr="00D81DC1">
        <w:t xml:space="preserve"> </w:t>
      </w:r>
      <w:r w:rsidR="008A36F9" w:rsidRPr="00D81DC1">
        <w:t>–</w:t>
      </w:r>
      <w:r w:rsidR="000F2EC6" w:rsidRPr="00D81DC1">
        <w:t xml:space="preserve"> </w:t>
      </w:r>
      <w:r w:rsidR="00A74B50" w:rsidRPr="00D81DC1">
        <w:t>Središnji</w:t>
      </w:r>
      <w:r w:rsidR="00F966C2" w:rsidRPr="00D81DC1">
        <w:t xml:space="preserve"> </w:t>
      </w:r>
      <w:r w:rsidR="00A74B50" w:rsidRPr="00D81DC1">
        <w:t>d</w:t>
      </w:r>
      <w:r w:rsidR="008A36F9" w:rsidRPr="00D81DC1">
        <w:t>ržavni ured za obnovu i stambeno zbrinjavanje</w:t>
      </w:r>
      <w:r w:rsidR="00C46B69" w:rsidRPr="00D81DC1">
        <w:t xml:space="preserve"> planirana su</w:t>
      </w:r>
      <w:r w:rsidR="00A443DB" w:rsidRPr="00D81DC1">
        <w:t xml:space="preserve"> sredstva u iznosu od </w:t>
      </w:r>
      <w:r w:rsidR="009A7C16">
        <w:t>219.010.000</w:t>
      </w:r>
      <w:r w:rsidR="00C44C6A">
        <w:t>,00</w:t>
      </w:r>
      <w:r w:rsidR="0000748A" w:rsidRPr="00D81DC1">
        <w:t xml:space="preserve"> kn – izvori</w:t>
      </w:r>
      <w:r w:rsidR="005D0E74" w:rsidRPr="00D81DC1">
        <w:t xml:space="preserve"> financiranja</w:t>
      </w:r>
      <w:r w:rsidR="007826B1" w:rsidRPr="00D81DC1">
        <w:t xml:space="preserve"> 11 i 12</w:t>
      </w:r>
      <w:r w:rsidR="00C44C6A">
        <w:t>,</w:t>
      </w:r>
      <w:r w:rsidR="00270117">
        <w:t xml:space="preserve"> </w:t>
      </w:r>
      <w:r w:rsidR="001A2112">
        <w:t>iznos od 5</w:t>
      </w:r>
      <w:r w:rsidR="00C44C6A">
        <w:t xml:space="preserve">.000,00 </w:t>
      </w:r>
      <w:r w:rsidR="00270117">
        <w:t xml:space="preserve">kn </w:t>
      </w:r>
      <w:r w:rsidR="005A05AD">
        <w:t xml:space="preserve">- </w:t>
      </w:r>
      <w:r w:rsidR="00C44C6A">
        <w:t>izvor 52,</w:t>
      </w:r>
      <w:r w:rsidR="00270117">
        <w:t xml:space="preserve"> iznos od </w:t>
      </w:r>
      <w:r w:rsidR="00AB76FB">
        <w:t>1.500.000</w:t>
      </w:r>
      <w:r w:rsidR="00C44C6A">
        <w:t>,00</w:t>
      </w:r>
      <w:r w:rsidR="0000748A" w:rsidRPr="00E57157">
        <w:rPr>
          <w:color w:val="FF0000"/>
        </w:rPr>
        <w:t xml:space="preserve"> </w:t>
      </w:r>
      <w:r w:rsidR="00AE7BC1">
        <w:t>kn</w:t>
      </w:r>
      <w:r w:rsidR="00AE7BC1">
        <w:rPr>
          <w:color w:val="FF0000"/>
        </w:rPr>
        <w:t xml:space="preserve"> </w:t>
      </w:r>
      <w:r w:rsidR="00AE7BC1">
        <w:t>-</w:t>
      </w:r>
      <w:r w:rsidR="0000748A" w:rsidRPr="00E57157">
        <w:rPr>
          <w:color w:val="FF0000"/>
        </w:rPr>
        <w:t xml:space="preserve"> </w:t>
      </w:r>
      <w:r w:rsidR="0000748A" w:rsidRPr="00AE7BC1">
        <w:t>izvor 53 (RHP – donacija CEB-a)</w:t>
      </w:r>
      <w:r w:rsidR="00270117">
        <w:t xml:space="preserve"> </w:t>
      </w:r>
      <w:r w:rsidR="00A443DB" w:rsidRPr="00AE7BC1">
        <w:t>.</w:t>
      </w:r>
      <w:r w:rsidR="00A443DB" w:rsidRPr="00E57157">
        <w:rPr>
          <w:color w:val="FF0000"/>
        </w:rPr>
        <w:t xml:space="preserve"> </w:t>
      </w:r>
      <w:r w:rsidR="00A443DB">
        <w:t>Ukupno ostvareni prihodi</w:t>
      </w:r>
      <w:r w:rsidR="0061313C">
        <w:t xml:space="preserve"> i primici</w:t>
      </w:r>
      <w:r w:rsidR="00A443DB">
        <w:t xml:space="preserve"> u </w:t>
      </w:r>
      <w:r w:rsidR="00C46B69">
        <w:t xml:space="preserve">razdoblju siječanj – </w:t>
      </w:r>
      <w:r w:rsidR="00270E32">
        <w:t>prosinac</w:t>
      </w:r>
      <w:r w:rsidR="009E1256">
        <w:t xml:space="preserve"> 2021</w:t>
      </w:r>
      <w:r w:rsidR="00C46B69">
        <w:t>.</w:t>
      </w:r>
      <w:r w:rsidR="00A443DB">
        <w:t xml:space="preserve"> godin</w:t>
      </w:r>
      <w:r w:rsidR="00C46B69">
        <w:t>e</w:t>
      </w:r>
      <w:r w:rsidR="00A443DB">
        <w:t xml:space="preserve"> iznose </w:t>
      </w:r>
      <w:r w:rsidR="00E344C8">
        <w:t>232.129.702,77</w:t>
      </w:r>
      <w:r w:rsidR="00F26430">
        <w:rPr>
          <w:b/>
        </w:rPr>
        <w:t xml:space="preserve"> </w:t>
      </w:r>
      <w:r w:rsidR="00F26430">
        <w:t>kn</w:t>
      </w:r>
      <w:r w:rsidR="00F26430">
        <w:rPr>
          <w:b/>
        </w:rPr>
        <w:t xml:space="preserve"> </w:t>
      </w:r>
      <w:r w:rsidR="0000748A">
        <w:rPr>
          <w:b/>
          <w:bCs/>
          <w:color w:val="000000"/>
        </w:rPr>
        <w:t xml:space="preserve"> </w:t>
      </w:r>
      <w:r w:rsidR="0061313C">
        <w:t>(</w:t>
      </w:r>
      <w:r w:rsidR="00A443DB">
        <w:t xml:space="preserve">AOP </w:t>
      </w:r>
      <w:r w:rsidR="00BA38E2">
        <w:t>6</w:t>
      </w:r>
      <w:r w:rsidR="00500769">
        <w:t>32</w:t>
      </w:r>
      <w:r w:rsidR="0061313C">
        <w:t>),</w:t>
      </w:r>
      <w:r w:rsidR="00A443DB">
        <w:t xml:space="preserve"> </w:t>
      </w:r>
      <w:r w:rsidR="00CF3099">
        <w:t xml:space="preserve">a </w:t>
      </w:r>
      <w:r w:rsidR="00A443DB">
        <w:t xml:space="preserve">iznos </w:t>
      </w:r>
      <w:r w:rsidR="00CF3099">
        <w:t xml:space="preserve">se </w:t>
      </w:r>
      <w:r w:rsidR="00A443DB">
        <w:t>sastoji od</w:t>
      </w:r>
      <w:r w:rsidR="00117B0C">
        <w:t xml:space="preserve"> </w:t>
      </w:r>
      <w:r w:rsidR="00871A30">
        <w:t xml:space="preserve"> izvora financiranja </w:t>
      </w:r>
      <w:r w:rsidR="0090199E">
        <w:t>11,</w:t>
      </w:r>
      <w:r w:rsidR="00270117">
        <w:t xml:space="preserve"> </w:t>
      </w:r>
      <w:r w:rsidR="0090199E">
        <w:t>12,</w:t>
      </w:r>
      <w:r w:rsidR="00270117">
        <w:t xml:space="preserve"> </w:t>
      </w:r>
      <w:r w:rsidR="00932E88">
        <w:t>53</w:t>
      </w:r>
      <w:r w:rsidR="0088714B">
        <w:t>,</w:t>
      </w:r>
      <w:r w:rsidR="00F569A6">
        <w:t xml:space="preserve"> </w:t>
      </w:r>
      <w:r w:rsidR="0088714B">
        <w:t>61</w:t>
      </w:r>
    </w:p>
    <w:p w:rsidR="00E57157" w:rsidRDefault="00E57157" w:rsidP="00DF4009">
      <w:pPr>
        <w:ind w:right="-284"/>
        <w:jc w:val="both"/>
      </w:pPr>
    </w:p>
    <w:p w:rsidR="00E57157" w:rsidRDefault="00E57157" w:rsidP="00DF4009">
      <w:pPr>
        <w:ind w:right="-284"/>
        <w:jc w:val="both"/>
        <w:rPr>
          <w:b/>
        </w:rPr>
      </w:pPr>
      <w:r w:rsidRPr="00E57157">
        <w:rPr>
          <w:b/>
        </w:rPr>
        <w:t>OSTVARENI PRIHODI I PRIMICI</w:t>
      </w:r>
    </w:p>
    <w:p w:rsidR="005D1D0F" w:rsidRDefault="005D1D0F" w:rsidP="00DF4009">
      <w:pPr>
        <w:ind w:right="-284"/>
        <w:jc w:val="both"/>
        <w:rPr>
          <w:b/>
        </w:rPr>
      </w:pPr>
    </w:p>
    <w:p w:rsidR="003B1143" w:rsidRPr="00E57157" w:rsidRDefault="003B1143" w:rsidP="00DF4009">
      <w:pPr>
        <w:ind w:right="-284"/>
        <w:jc w:val="both"/>
        <w:rPr>
          <w:b/>
        </w:rPr>
      </w:pPr>
    </w:p>
    <w:tbl>
      <w:tblPr>
        <w:tblW w:w="9440" w:type="dxa"/>
        <w:tblLook w:val="04A0" w:firstRow="1" w:lastRow="0" w:firstColumn="1" w:lastColumn="0" w:noHBand="0" w:noVBand="1"/>
      </w:tblPr>
      <w:tblGrid>
        <w:gridCol w:w="557"/>
        <w:gridCol w:w="3053"/>
        <w:gridCol w:w="816"/>
        <w:gridCol w:w="1716"/>
        <w:gridCol w:w="1716"/>
        <w:gridCol w:w="885"/>
        <w:gridCol w:w="697"/>
      </w:tblGrid>
      <w:tr w:rsidR="00900AC6" w:rsidRPr="00900AC6" w:rsidTr="00900AC6">
        <w:trPr>
          <w:trHeight w:val="690"/>
        </w:trPr>
        <w:tc>
          <w:tcPr>
            <w:tcW w:w="44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00AC6" w:rsidRPr="00900AC6" w:rsidRDefault="00900AC6" w:rsidP="00900AC6">
            <w:pPr>
              <w:jc w:val="center"/>
              <w:rPr>
                <w:color w:val="000000"/>
              </w:rPr>
            </w:pPr>
            <w:r w:rsidRPr="00900AC6">
              <w:rPr>
                <w:color w:val="000000"/>
              </w:rPr>
              <w:t>Rb.</w:t>
            </w:r>
          </w:p>
        </w:tc>
        <w:tc>
          <w:tcPr>
            <w:tcW w:w="3480" w:type="dxa"/>
            <w:tcBorders>
              <w:top w:val="single" w:sz="4" w:space="0" w:color="auto"/>
              <w:left w:val="nil"/>
              <w:bottom w:val="single" w:sz="4" w:space="0" w:color="auto"/>
              <w:right w:val="single" w:sz="4" w:space="0" w:color="auto"/>
            </w:tcBorders>
            <w:shd w:val="clear" w:color="000000" w:fill="FFFF00"/>
            <w:vAlign w:val="center"/>
            <w:hideMark/>
          </w:tcPr>
          <w:p w:rsidR="00900AC6" w:rsidRPr="00900AC6" w:rsidRDefault="00900AC6" w:rsidP="00900AC6">
            <w:pPr>
              <w:jc w:val="center"/>
              <w:rPr>
                <w:color w:val="000000"/>
              </w:rPr>
            </w:pPr>
            <w:r w:rsidRPr="00900AC6">
              <w:rPr>
                <w:color w:val="000000"/>
              </w:rPr>
              <w:t xml:space="preserve">Prihodi </w:t>
            </w:r>
          </w:p>
        </w:tc>
        <w:tc>
          <w:tcPr>
            <w:tcW w:w="640" w:type="dxa"/>
            <w:tcBorders>
              <w:top w:val="single" w:sz="4" w:space="0" w:color="auto"/>
              <w:left w:val="nil"/>
              <w:bottom w:val="single" w:sz="4" w:space="0" w:color="auto"/>
              <w:right w:val="single" w:sz="4" w:space="0" w:color="auto"/>
            </w:tcBorders>
            <w:shd w:val="clear" w:color="000000" w:fill="FFFF00"/>
            <w:vAlign w:val="center"/>
            <w:hideMark/>
          </w:tcPr>
          <w:p w:rsidR="00900AC6" w:rsidRPr="00900AC6" w:rsidRDefault="00900AC6" w:rsidP="00900AC6">
            <w:pPr>
              <w:jc w:val="center"/>
              <w:rPr>
                <w:color w:val="000000"/>
              </w:rPr>
            </w:pPr>
            <w:r w:rsidRPr="00900AC6">
              <w:rPr>
                <w:color w:val="000000"/>
              </w:rPr>
              <w:t>Grupa konta</w:t>
            </w:r>
          </w:p>
        </w:tc>
        <w:tc>
          <w:tcPr>
            <w:tcW w:w="1660" w:type="dxa"/>
            <w:tcBorders>
              <w:top w:val="single" w:sz="4" w:space="0" w:color="auto"/>
              <w:left w:val="nil"/>
              <w:bottom w:val="single" w:sz="4" w:space="0" w:color="auto"/>
              <w:right w:val="single" w:sz="4" w:space="0" w:color="auto"/>
            </w:tcBorders>
            <w:shd w:val="clear" w:color="000000" w:fill="FFFF00"/>
            <w:vAlign w:val="center"/>
            <w:hideMark/>
          </w:tcPr>
          <w:p w:rsidR="00900AC6" w:rsidRPr="00900AC6" w:rsidRDefault="00900AC6" w:rsidP="00900AC6">
            <w:pPr>
              <w:jc w:val="center"/>
              <w:rPr>
                <w:color w:val="000000"/>
              </w:rPr>
            </w:pPr>
            <w:r w:rsidRPr="00900AC6">
              <w:rPr>
                <w:color w:val="000000"/>
              </w:rPr>
              <w:t>Ostvareno 2020.</w:t>
            </w:r>
          </w:p>
        </w:tc>
        <w:tc>
          <w:tcPr>
            <w:tcW w:w="1660" w:type="dxa"/>
            <w:tcBorders>
              <w:top w:val="single" w:sz="4" w:space="0" w:color="auto"/>
              <w:left w:val="nil"/>
              <w:bottom w:val="single" w:sz="4" w:space="0" w:color="auto"/>
              <w:right w:val="single" w:sz="4" w:space="0" w:color="auto"/>
            </w:tcBorders>
            <w:shd w:val="clear" w:color="000000" w:fill="FFFF00"/>
            <w:vAlign w:val="center"/>
            <w:hideMark/>
          </w:tcPr>
          <w:p w:rsidR="00900AC6" w:rsidRPr="00900AC6" w:rsidRDefault="00900AC6" w:rsidP="00900AC6">
            <w:pPr>
              <w:jc w:val="center"/>
              <w:rPr>
                <w:color w:val="000000"/>
              </w:rPr>
            </w:pPr>
            <w:r w:rsidRPr="00900AC6">
              <w:rPr>
                <w:color w:val="000000"/>
              </w:rPr>
              <w:t>Ostvareno 2021.</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900AC6" w:rsidRPr="00900AC6" w:rsidRDefault="00900AC6" w:rsidP="00900AC6">
            <w:pPr>
              <w:jc w:val="center"/>
              <w:rPr>
                <w:color w:val="000000"/>
              </w:rPr>
            </w:pPr>
            <w:r w:rsidRPr="00900AC6">
              <w:rPr>
                <w:color w:val="000000"/>
              </w:rPr>
              <w:t>Ind.</w:t>
            </w:r>
          </w:p>
        </w:tc>
        <w:tc>
          <w:tcPr>
            <w:tcW w:w="640" w:type="dxa"/>
            <w:tcBorders>
              <w:top w:val="single" w:sz="4" w:space="0" w:color="auto"/>
              <w:left w:val="nil"/>
              <w:bottom w:val="single" w:sz="4" w:space="0" w:color="auto"/>
              <w:right w:val="single" w:sz="4" w:space="0" w:color="auto"/>
            </w:tcBorders>
            <w:shd w:val="clear" w:color="000000" w:fill="FFFF00"/>
            <w:vAlign w:val="center"/>
            <w:hideMark/>
          </w:tcPr>
          <w:p w:rsidR="00900AC6" w:rsidRPr="00900AC6" w:rsidRDefault="00900AC6" w:rsidP="00900AC6">
            <w:pPr>
              <w:jc w:val="center"/>
              <w:rPr>
                <w:color w:val="000000"/>
              </w:rPr>
            </w:pPr>
            <w:r w:rsidRPr="00900AC6">
              <w:rPr>
                <w:color w:val="000000"/>
              </w:rPr>
              <w:t>AOP</w:t>
            </w:r>
          </w:p>
        </w:tc>
      </w:tr>
      <w:tr w:rsidR="00900AC6" w:rsidRPr="00900AC6" w:rsidTr="00900AC6">
        <w:trPr>
          <w:trHeight w:val="6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00AC6" w:rsidRPr="00900AC6" w:rsidRDefault="00900AC6" w:rsidP="00900AC6">
            <w:pPr>
              <w:jc w:val="center"/>
              <w:rPr>
                <w:color w:val="000000"/>
              </w:rPr>
            </w:pPr>
            <w:r w:rsidRPr="00900AC6">
              <w:rPr>
                <w:color w:val="000000"/>
              </w:rPr>
              <w:t>1</w:t>
            </w:r>
          </w:p>
        </w:tc>
        <w:tc>
          <w:tcPr>
            <w:tcW w:w="348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rPr>
                <w:color w:val="000000"/>
              </w:rPr>
            </w:pPr>
            <w:r w:rsidRPr="00900AC6">
              <w:rPr>
                <w:color w:val="000000"/>
              </w:rPr>
              <w:t>Pomoći iz inozemstva i od subjekata unutar općeg proračuna</w:t>
            </w:r>
          </w:p>
        </w:tc>
        <w:tc>
          <w:tcPr>
            <w:tcW w:w="64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center"/>
              <w:rPr>
                <w:color w:val="000000"/>
              </w:rPr>
            </w:pPr>
            <w:r w:rsidRPr="00900AC6">
              <w:rPr>
                <w:color w:val="000000"/>
              </w:rPr>
              <w:t>63</w:t>
            </w:r>
          </w:p>
        </w:tc>
        <w:tc>
          <w:tcPr>
            <w:tcW w:w="166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right"/>
              <w:rPr>
                <w:color w:val="000000"/>
              </w:rPr>
            </w:pPr>
            <w:r w:rsidRPr="00900AC6">
              <w:rPr>
                <w:color w:val="000000"/>
              </w:rPr>
              <w:t>6.678.435,49</w:t>
            </w:r>
          </w:p>
        </w:tc>
        <w:tc>
          <w:tcPr>
            <w:tcW w:w="166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right"/>
              <w:rPr>
                <w:color w:val="000000"/>
              </w:rPr>
            </w:pPr>
            <w:r w:rsidRPr="00900AC6">
              <w:rPr>
                <w:color w:val="000000"/>
              </w:rPr>
              <w:t>6.707.284,12</w:t>
            </w:r>
          </w:p>
        </w:tc>
        <w:tc>
          <w:tcPr>
            <w:tcW w:w="920" w:type="dxa"/>
            <w:tcBorders>
              <w:top w:val="nil"/>
              <w:left w:val="nil"/>
              <w:bottom w:val="single" w:sz="4" w:space="0" w:color="auto"/>
              <w:right w:val="single" w:sz="4" w:space="0" w:color="auto"/>
            </w:tcBorders>
            <w:shd w:val="clear" w:color="auto" w:fill="auto"/>
            <w:vAlign w:val="center"/>
            <w:hideMark/>
          </w:tcPr>
          <w:p w:rsidR="00900AC6" w:rsidRPr="00900AC6" w:rsidRDefault="00EF71B6" w:rsidP="00900AC6">
            <w:pPr>
              <w:jc w:val="center"/>
              <w:rPr>
                <w:color w:val="000000"/>
              </w:rPr>
            </w:pPr>
            <w:r>
              <w:rPr>
                <w:color w:val="000000"/>
              </w:rPr>
              <w:t>100</w:t>
            </w:r>
          </w:p>
        </w:tc>
        <w:tc>
          <w:tcPr>
            <w:tcW w:w="64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center"/>
              <w:rPr>
                <w:color w:val="000000"/>
              </w:rPr>
            </w:pPr>
            <w:r w:rsidRPr="00900AC6">
              <w:rPr>
                <w:color w:val="000000"/>
              </w:rPr>
              <w:t>045</w:t>
            </w:r>
          </w:p>
        </w:tc>
      </w:tr>
      <w:tr w:rsidR="00900AC6" w:rsidRPr="00900AC6" w:rsidTr="00900AC6">
        <w:trPr>
          <w:trHeight w:val="6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00AC6" w:rsidRPr="00900AC6" w:rsidRDefault="00900AC6" w:rsidP="00900AC6">
            <w:pPr>
              <w:jc w:val="center"/>
              <w:rPr>
                <w:color w:val="000000"/>
              </w:rPr>
            </w:pPr>
            <w:r w:rsidRPr="00900AC6">
              <w:rPr>
                <w:color w:val="000000"/>
              </w:rPr>
              <w:t>2</w:t>
            </w:r>
          </w:p>
        </w:tc>
        <w:tc>
          <w:tcPr>
            <w:tcW w:w="348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rPr>
                <w:color w:val="000000"/>
              </w:rPr>
            </w:pPr>
            <w:r w:rsidRPr="00900AC6">
              <w:rPr>
                <w:color w:val="000000"/>
              </w:rPr>
              <w:t>Prihodi od uprav.i admin.prostojbi po pos. propisima i  naknada</w:t>
            </w:r>
          </w:p>
        </w:tc>
        <w:tc>
          <w:tcPr>
            <w:tcW w:w="64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center"/>
              <w:rPr>
                <w:color w:val="000000"/>
              </w:rPr>
            </w:pPr>
            <w:r w:rsidRPr="00900AC6">
              <w:rPr>
                <w:color w:val="000000"/>
              </w:rPr>
              <w:t>65</w:t>
            </w:r>
          </w:p>
        </w:tc>
        <w:tc>
          <w:tcPr>
            <w:tcW w:w="166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right"/>
              <w:rPr>
                <w:color w:val="000000"/>
              </w:rPr>
            </w:pPr>
            <w:r w:rsidRPr="00900AC6">
              <w:rPr>
                <w:color w:val="000000"/>
              </w:rPr>
              <w:t> </w:t>
            </w:r>
          </w:p>
        </w:tc>
        <w:tc>
          <w:tcPr>
            <w:tcW w:w="166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right"/>
              <w:rPr>
                <w:color w:val="000000"/>
              </w:rPr>
            </w:pPr>
            <w:r w:rsidRPr="00900AC6">
              <w:rPr>
                <w:color w:val="000000"/>
              </w:rPr>
              <w:t>1.625,00</w:t>
            </w:r>
          </w:p>
        </w:tc>
        <w:tc>
          <w:tcPr>
            <w:tcW w:w="92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center"/>
              <w:rPr>
                <w:color w:val="000000"/>
              </w:rPr>
            </w:pPr>
            <w:r w:rsidRPr="00900AC6">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center"/>
              <w:rPr>
                <w:color w:val="000000"/>
              </w:rPr>
            </w:pPr>
            <w:r w:rsidRPr="00900AC6">
              <w:rPr>
                <w:color w:val="000000"/>
              </w:rPr>
              <w:t>101</w:t>
            </w:r>
          </w:p>
        </w:tc>
      </w:tr>
      <w:tr w:rsidR="00900AC6" w:rsidRPr="00900AC6" w:rsidTr="00900AC6">
        <w:trPr>
          <w:trHeight w:val="6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00AC6" w:rsidRPr="00900AC6" w:rsidRDefault="00900AC6" w:rsidP="00900AC6">
            <w:pPr>
              <w:jc w:val="center"/>
              <w:rPr>
                <w:color w:val="000000"/>
              </w:rPr>
            </w:pPr>
            <w:r w:rsidRPr="00900AC6">
              <w:rPr>
                <w:color w:val="000000"/>
              </w:rPr>
              <w:t>3</w:t>
            </w:r>
          </w:p>
        </w:tc>
        <w:tc>
          <w:tcPr>
            <w:tcW w:w="348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rPr>
                <w:color w:val="000000"/>
              </w:rPr>
            </w:pPr>
            <w:r w:rsidRPr="00900AC6">
              <w:rPr>
                <w:color w:val="000000"/>
              </w:rPr>
              <w:t xml:space="preserve">Prihodi od prodaje proizvodai roebe te pr. usluga i prihodi od donacija </w:t>
            </w:r>
          </w:p>
        </w:tc>
        <w:tc>
          <w:tcPr>
            <w:tcW w:w="64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center"/>
              <w:rPr>
                <w:color w:val="000000"/>
              </w:rPr>
            </w:pPr>
            <w:r w:rsidRPr="00900AC6">
              <w:rPr>
                <w:color w:val="000000"/>
              </w:rPr>
              <w:t>66</w:t>
            </w:r>
          </w:p>
        </w:tc>
        <w:tc>
          <w:tcPr>
            <w:tcW w:w="166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right"/>
              <w:rPr>
                <w:color w:val="000000"/>
              </w:rPr>
            </w:pPr>
            <w:r w:rsidRPr="00900AC6">
              <w:rPr>
                <w:color w:val="000000"/>
              </w:rPr>
              <w:t> </w:t>
            </w:r>
          </w:p>
        </w:tc>
        <w:tc>
          <w:tcPr>
            <w:tcW w:w="166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right"/>
              <w:rPr>
                <w:color w:val="000000"/>
              </w:rPr>
            </w:pPr>
            <w:r w:rsidRPr="00900AC6">
              <w:rPr>
                <w:color w:val="000000"/>
              </w:rPr>
              <w:t>55.220.671,46</w:t>
            </w:r>
          </w:p>
        </w:tc>
        <w:tc>
          <w:tcPr>
            <w:tcW w:w="92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center"/>
              <w:rPr>
                <w:color w:val="000000"/>
              </w:rPr>
            </w:pPr>
            <w:r w:rsidRPr="00900AC6">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center"/>
              <w:rPr>
                <w:color w:val="000000"/>
              </w:rPr>
            </w:pPr>
            <w:r w:rsidRPr="00900AC6">
              <w:rPr>
                <w:color w:val="000000"/>
              </w:rPr>
              <w:t>119</w:t>
            </w:r>
          </w:p>
        </w:tc>
      </w:tr>
      <w:tr w:rsidR="00900AC6" w:rsidRPr="00900AC6" w:rsidTr="00900AC6">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00AC6" w:rsidRPr="00900AC6" w:rsidRDefault="00900AC6" w:rsidP="00900AC6">
            <w:pPr>
              <w:jc w:val="center"/>
              <w:rPr>
                <w:color w:val="000000"/>
              </w:rPr>
            </w:pPr>
            <w:r w:rsidRPr="00900AC6">
              <w:rPr>
                <w:color w:val="000000"/>
              </w:rPr>
              <w:t>3</w:t>
            </w:r>
          </w:p>
        </w:tc>
        <w:tc>
          <w:tcPr>
            <w:tcW w:w="348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rPr>
                <w:color w:val="000000"/>
              </w:rPr>
            </w:pPr>
            <w:r w:rsidRPr="00900AC6">
              <w:rPr>
                <w:color w:val="000000"/>
              </w:rPr>
              <w:t>Prihodi iz proračuna</w:t>
            </w:r>
          </w:p>
        </w:tc>
        <w:tc>
          <w:tcPr>
            <w:tcW w:w="64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center"/>
              <w:rPr>
                <w:color w:val="000000"/>
              </w:rPr>
            </w:pPr>
            <w:r w:rsidRPr="00900AC6">
              <w:rPr>
                <w:color w:val="000000"/>
              </w:rPr>
              <w:t>67</w:t>
            </w:r>
          </w:p>
        </w:tc>
        <w:tc>
          <w:tcPr>
            <w:tcW w:w="166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right"/>
              <w:rPr>
                <w:color w:val="000000"/>
              </w:rPr>
            </w:pPr>
            <w:r w:rsidRPr="00900AC6">
              <w:rPr>
                <w:color w:val="000000"/>
              </w:rPr>
              <w:t>194.518.490,17</w:t>
            </w:r>
          </w:p>
        </w:tc>
        <w:tc>
          <w:tcPr>
            <w:tcW w:w="166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right"/>
              <w:rPr>
                <w:color w:val="000000"/>
              </w:rPr>
            </w:pPr>
            <w:r w:rsidRPr="00900AC6">
              <w:rPr>
                <w:color w:val="000000"/>
              </w:rPr>
              <w:t>170.199.342,61</w:t>
            </w:r>
          </w:p>
        </w:tc>
        <w:tc>
          <w:tcPr>
            <w:tcW w:w="920" w:type="dxa"/>
            <w:tcBorders>
              <w:top w:val="nil"/>
              <w:left w:val="nil"/>
              <w:bottom w:val="single" w:sz="4" w:space="0" w:color="auto"/>
              <w:right w:val="single" w:sz="4" w:space="0" w:color="auto"/>
            </w:tcBorders>
            <w:shd w:val="clear" w:color="auto" w:fill="auto"/>
            <w:vAlign w:val="center"/>
            <w:hideMark/>
          </w:tcPr>
          <w:p w:rsidR="00900AC6" w:rsidRPr="00900AC6" w:rsidRDefault="00EF71B6" w:rsidP="00900AC6">
            <w:pPr>
              <w:jc w:val="center"/>
              <w:rPr>
                <w:color w:val="000000"/>
              </w:rPr>
            </w:pPr>
            <w:r>
              <w:rPr>
                <w:color w:val="000000"/>
              </w:rPr>
              <w:t>87</w:t>
            </w:r>
          </w:p>
        </w:tc>
        <w:tc>
          <w:tcPr>
            <w:tcW w:w="64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center"/>
              <w:rPr>
                <w:color w:val="000000"/>
              </w:rPr>
            </w:pPr>
            <w:r w:rsidRPr="00900AC6">
              <w:rPr>
                <w:color w:val="000000"/>
              </w:rPr>
              <w:t>128</w:t>
            </w:r>
          </w:p>
        </w:tc>
      </w:tr>
      <w:tr w:rsidR="00900AC6" w:rsidRPr="00900AC6" w:rsidTr="00900AC6">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00AC6" w:rsidRPr="00900AC6" w:rsidRDefault="00900AC6" w:rsidP="00900AC6">
            <w:pPr>
              <w:jc w:val="center"/>
              <w:rPr>
                <w:color w:val="000000"/>
              </w:rPr>
            </w:pPr>
            <w:r w:rsidRPr="00900AC6">
              <w:rPr>
                <w:color w:val="000000"/>
              </w:rPr>
              <w:t>4</w:t>
            </w:r>
          </w:p>
        </w:tc>
        <w:tc>
          <w:tcPr>
            <w:tcW w:w="348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rPr>
                <w:color w:val="000000"/>
              </w:rPr>
            </w:pPr>
            <w:r w:rsidRPr="00900AC6">
              <w:rPr>
                <w:color w:val="000000"/>
              </w:rPr>
              <w:t>Ostali prihodi</w:t>
            </w:r>
          </w:p>
        </w:tc>
        <w:tc>
          <w:tcPr>
            <w:tcW w:w="64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center"/>
              <w:rPr>
                <w:color w:val="000000"/>
              </w:rPr>
            </w:pPr>
            <w:r w:rsidRPr="00900AC6">
              <w:rPr>
                <w:color w:val="000000"/>
              </w:rPr>
              <w:t>68</w:t>
            </w:r>
          </w:p>
        </w:tc>
        <w:tc>
          <w:tcPr>
            <w:tcW w:w="166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right"/>
              <w:rPr>
                <w:color w:val="000000"/>
              </w:rPr>
            </w:pPr>
            <w:r w:rsidRPr="00900AC6">
              <w:rPr>
                <w:color w:val="000000"/>
              </w:rPr>
              <w:t>19.398,32</w:t>
            </w:r>
          </w:p>
        </w:tc>
        <w:tc>
          <w:tcPr>
            <w:tcW w:w="166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right"/>
              <w:rPr>
                <w:color w:val="000000"/>
              </w:rPr>
            </w:pPr>
            <w:r w:rsidRPr="00900AC6">
              <w:rPr>
                <w:color w:val="000000"/>
              </w:rPr>
              <w:t>779,58</w:t>
            </w:r>
          </w:p>
        </w:tc>
        <w:tc>
          <w:tcPr>
            <w:tcW w:w="920" w:type="dxa"/>
            <w:tcBorders>
              <w:top w:val="nil"/>
              <w:left w:val="nil"/>
              <w:bottom w:val="single" w:sz="4" w:space="0" w:color="auto"/>
              <w:right w:val="single" w:sz="4" w:space="0" w:color="auto"/>
            </w:tcBorders>
            <w:shd w:val="clear" w:color="auto" w:fill="auto"/>
            <w:vAlign w:val="center"/>
            <w:hideMark/>
          </w:tcPr>
          <w:p w:rsidR="00900AC6" w:rsidRPr="00900AC6" w:rsidRDefault="00EF71B6" w:rsidP="00900AC6">
            <w:pPr>
              <w:jc w:val="center"/>
              <w:rPr>
                <w:color w:val="000000"/>
              </w:rPr>
            </w:pPr>
            <w:r>
              <w:rPr>
                <w:color w:val="000000"/>
              </w:rPr>
              <w:t>4</w:t>
            </w:r>
          </w:p>
        </w:tc>
        <w:tc>
          <w:tcPr>
            <w:tcW w:w="640" w:type="dxa"/>
            <w:tcBorders>
              <w:top w:val="nil"/>
              <w:left w:val="nil"/>
              <w:bottom w:val="single" w:sz="4" w:space="0" w:color="auto"/>
              <w:right w:val="single" w:sz="4" w:space="0" w:color="auto"/>
            </w:tcBorders>
            <w:shd w:val="clear" w:color="auto" w:fill="auto"/>
            <w:vAlign w:val="center"/>
            <w:hideMark/>
          </w:tcPr>
          <w:p w:rsidR="00900AC6" w:rsidRPr="00900AC6" w:rsidRDefault="00900AC6" w:rsidP="00900AC6">
            <w:pPr>
              <w:jc w:val="center"/>
              <w:rPr>
                <w:color w:val="000000"/>
              </w:rPr>
            </w:pPr>
            <w:r w:rsidRPr="00900AC6">
              <w:rPr>
                <w:color w:val="000000"/>
              </w:rPr>
              <w:t>134</w:t>
            </w:r>
          </w:p>
        </w:tc>
      </w:tr>
      <w:tr w:rsidR="00900AC6" w:rsidRPr="00900AC6" w:rsidTr="00900AC6">
        <w:trPr>
          <w:trHeight w:val="480"/>
        </w:trPr>
        <w:tc>
          <w:tcPr>
            <w:tcW w:w="39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00AC6" w:rsidRPr="00900AC6" w:rsidRDefault="00900AC6" w:rsidP="00900AC6">
            <w:pPr>
              <w:jc w:val="center"/>
              <w:rPr>
                <w:b/>
                <w:bCs/>
                <w:color w:val="000000"/>
              </w:rPr>
            </w:pPr>
            <w:r w:rsidRPr="00900AC6">
              <w:rPr>
                <w:b/>
                <w:bCs/>
                <w:color w:val="000000"/>
              </w:rPr>
              <w:t>Ukupno</w:t>
            </w:r>
          </w:p>
        </w:tc>
        <w:tc>
          <w:tcPr>
            <w:tcW w:w="640" w:type="dxa"/>
            <w:tcBorders>
              <w:top w:val="nil"/>
              <w:left w:val="nil"/>
              <w:bottom w:val="single" w:sz="4" w:space="0" w:color="auto"/>
              <w:right w:val="single" w:sz="4" w:space="0" w:color="auto"/>
            </w:tcBorders>
            <w:shd w:val="clear" w:color="000000" w:fill="D9D9D9"/>
            <w:vAlign w:val="center"/>
            <w:hideMark/>
          </w:tcPr>
          <w:p w:rsidR="00900AC6" w:rsidRPr="00900AC6" w:rsidRDefault="00900AC6" w:rsidP="00900AC6">
            <w:pPr>
              <w:jc w:val="right"/>
              <w:rPr>
                <w:b/>
                <w:bCs/>
                <w:color w:val="000000"/>
              </w:rPr>
            </w:pPr>
            <w:r w:rsidRPr="00900AC6">
              <w:rPr>
                <w:b/>
                <w:bCs/>
                <w:color w:val="000000"/>
              </w:rPr>
              <w:t> </w:t>
            </w:r>
          </w:p>
        </w:tc>
        <w:tc>
          <w:tcPr>
            <w:tcW w:w="1660" w:type="dxa"/>
            <w:tcBorders>
              <w:top w:val="nil"/>
              <w:left w:val="nil"/>
              <w:bottom w:val="single" w:sz="4" w:space="0" w:color="auto"/>
              <w:right w:val="single" w:sz="4" w:space="0" w:color="auto"/>
            </w:tcBorders>
            <w:shd w:val="clear" w:color="000000" w:fill="D9D9D9"/>
            <w:vAlign w:val="center"/>
            <w:hideMark/>
          </w:tcPr>
          <w:p w:rsidR="00900AC6" w:rsidRPr="00900AC6" w:rsidRDefault="00900AC6" w:rsidP="00900AC6">
            <w:pPr>
              <w:jc w:val="right"/>
              <w:rPr>
                <w:b/>
                <w:bCs/>
                <w:color w:val="000000"/>
              </w:rPr>
            </w:pPr>
            <w:r w:rsidRPr="00900AC6">
              <w:rPr>
                <w:b/>
                <w:bCs/>
                <w:color w:val="000000"/>
              </w:rPr>
              <w:t>201.216.323,98</w:t>
            </w:r>
          </w:p>
        </w:tc>
        <w:tc>
          <w:tcPr>
            <w:tcW w:w="1660" w:type="dxa"/>
            <w:tcBorders>
              <w:top w:val="nil"/>
              <w:left w:val="nil"/>
              <w:bottom w:val="single" w:sz="4" w:space="0" w:color="auto"/>
              <w:right w:val="single" w:sz="4" w:space="0" w:color="auto"/>
            </w:tcBorders>
            <w:shd w:val="clear" w:color="000000" w:fill="D9D9D9"/>
            <w:vAlign w:val="center"/>
            <w:hideMark/>
          </w:tcPr>
          <w:p w:rsidR="00900AC6" w:rsidRPr="00900AC6" w:rsidRDefault="00900AC6" w:rsidP="00900AC6">
            <w:pPr>
              <w:jc w:val="right"/>
              <w:rPr>
                <w:b/>
                <w:bCs/>
                <w:color w:val="000000"/>
              </w:rPr>
            </w:pPr>
            <w:r w:rsidRPr="00900AC6">
              <w:rPr>
                <w:b/>
                <w:bCs/>
                <w:color w:val="000000"/>
              </w:rPr>
              <w:t>232.129.702,77</w:t>
            </w:r>
          </w:p>
        </w:tc>
        <w:tc>
          <w:tcPr>
            <w:tcW w:w="920" w:type="dxa"/>
            <w:tcBorders>
              <w:top w:val="nil"/>
              <w:left w:val="nil"/>
              <w:bottom w:val="single" w:sz="4" w:space="0" w:color="auto"/>
              <w:right w:val="single" w:sz="4" w:space="0" w:color="auto"/>
            </w:tcBorders>
            <w:shd w:val="clear" w:color="000000" w:fill="D9D9D9"/>
            <w:vAlign w:val="center"/>
            <w:hideMark/>
          </w:tcPr>
          <w:p w:rsidR="00900AC6" w:rsidRPr="00900AC6" w:rsidRDefault="00900AC6" w:rsidP="00900AC6">
            <w:pPr>
              <w:jc w:val="center"/>
              <w:rPr>
                <w:color w:val="000000"/>
              </w:rPr>
            </w:pPr>
            <w:r w:rsidRPr="00900AC6">
              <w:rPr>
                <w:color w:val="000000"/>
              </w:rPr>
              <w:t>115%</w:t>
            </w:r>
          </w:p>
        </w:tc>
        <w:tc>
          <w:tcPr>
            <w:tcW w:w="640" w:type="dxa"/>
            <w:tcBorders>
              <w:top w:val="nil"/>
              <w:left w:val="nil"/>
              <w:bottom w:val="single" w:sz="4" w:space="0" w:color="auto"/>
              <w:right w:val="single" w:sz="4" w:space="0" w:color="auto"/>
            </w:tcBorders>
            <w:shd w:val="clear" w:color="000000" w:fill="D9D9D9"/>
            <w:vAlign w:val="center"/>
            <w:hideMark/>
          </w:tcPr>
          <w:p w:rsidR="00900AC6" w:rsidRPr="00900AC6" w:rsidRDefault="00900AC6" w:rsidP="00900AC6">
            <w:pPr>
              <w:jc w:val="right"/>
              <w:rPr>
                <w:b/>
                <w:bCs/>
                <w:color w:val="000000"/>
              </w:rPr>
            </w:pPr>
            <w:r w:rsidRPr="00900AC6">
              <w:rPr>
                <w:b/>
                <w:bCs/>
                <w:color w:val="000000"/>
              </w:rPr>
              <w:t> </w:t>
            </w:r>
          </w:p>
        </w:tc>
      </w:tr>
    </w:tbl>
    <w:p w:rsidR="00E57157" w:rsidRPr="00E57157" w:rsidRDefault="00E57157" w:rsidP="00DF4009">
      <w:pPr>
        <w:ind w:right="-284"/>
        <w:jc w:val="both"/>
        <w:rPr>
          <w:b/>
        </w:rPr>
      </w:pPr>
    </w:p>
    <w:tbl>
      <w:tblPr>
        <w:tblW w:w="10284" w:type="dxa"/>
        <w:tblInd w:w="75" w:type="dxa"/>
        <w:tblLayout w:type="fixed"/>
        <w:tblLook w:val="04A0" w:firstRow="1" w:lastRow="0" w:firstColumn="1" w:lastColumn="0" w:noHBand="0" w:noVBand="1"/>
      </w:tblPr>
      <w:tblGrid>
        <w:gridCol w:w="5156"/>
        <w:gridCol w:w="1774"/>
        <w:gridCol w:w="1760"/>
        <w:gridCol w:w="876"/>
        <w:gridCol w:w="718"/>
      </w:tblGrid>
      <w:tr w:rsidR="007E53C3" w:rsidRPr="007E53C3" w:rsidTr="00E57157">
        <w:trPr>
          <w:trHeight w:val="315"/>
        </w:trPr>
        <w:tc>
          <w:tcPr>
            <w:tcW w:w="5156" w:type="dxa"/>
            <w:tcBorders>
              <w:top w:val="nil"/>
              <w:left w:val="nil"/>
              <w:bottom w:val="nil"/>
              <w:right w:val="nil"/>
            </w:tcBorders>
            <w:shd w:val="clear" w:color="auto" w:fill="auto"/>
            <w:noWrap/>
            <w:vAlign w:val="bottom"/>
          </w:tcPr>
          <w:p w:rsidR="00E57157" w:rsidRPr="007E53C3" w:rsidRDefault="00E57157" w:rsidP="007E53C3">
            <w:pPr>
              <w:rPr>
                <w:b/>
                <w:bCs/>
                <w:color w:val="000000"/>
              </w:rPr>
            </w:pPr>
          </w:p>
        </w:tc>
        <w:tc>
          <w:tcPr>
            <w:tcW w:w="1774" w:type="dxa"/>
            <w:tcBorders>
              <w:top w:val="nil"/>
              <w:left w:val="nil"/>
              <w:bottom w:val="nil"/>
              <w:right w:val="nil"/>
            </w:tcBorders>
            <w:shd w:val="clear" w:color="auto" w:fill="auto"/>
            <w:noWrap/>
            <w:vAlign w:val="bottom"/>
          </w:tcPr>
          <w:p w:rsidR="007E53C3" w:rsidRPr="007E53C3" w:rsidRDefault="007E53C3" w:rsidP="007E53C3">
            <w:pPr>
              <w:rPr>
                <w:b/>
                <w:bCs/>
                <w:color w:val="000000"/>
              </w:rPr>
            </w:pPr>
          </w:p>
        </w:tc>
        <w:tc>
          <w:tcPr>
            <w:tcW w:w="1760" w:type="dxa"/>
            <w:tcBorders>
              <w:top w:val="nil"/>
              <w:left w:val="nil"/>
              <w:bottom w:val="nil"/>
              <w:right w:val="nil"/>
            </w:tcBorders>
            <w:shd w:val="clear" w:color="auto" w:fill="auto"/>
            <w:noWrap/>
            <w:vAlign w:val="bottom"/>
          </w:tcPr>
          <w:p w:rsidR="007E53C3" w:rsidRPr="007E53C3" w:rsidRDefault="007E53C3" w:rsidP="007E53C3">
            <w:pPr>
              <w:rPr>
                <w:sz w:val="20"/>
                <w:szCs w:val="20"/>
              </w:rPr>
            </w:pPr>
          </w:p>
        </w:tc>
        <w:tc>
          <w:tcPr>
            <w:tcW w:w="876" w:type="dxa"/>
            <w:tcBorders>
              <w:top w:val="nil"/>
              <w:left w:val="nil"/>
              <w:bottom w:val="nil"/>
              <w:right w:val="nil"/>
            </w:tcBorders>
            <w:shd w:val="clear" w:color="auto" w:fill="auto"/>
            <w:noWrap/>
            <w:vAlign w:val="bottom"/>
          </w:tcPr>
          <w:p w:rsidR="007E53C3" w:rsidRPr="007E53C3" w:rsidRDefault="007E53C3" w:rsidP="007E53C3">
            <w:pPr>
              <w:rPr>
                <w:sz w:val="20"/>
                <w:szCs w:val="20"/>
              </w:rPr>
            </w:pPr>
          </w:p>
        </w:tc>
        <w:tc>
          <w:tcPr>
            <w:tcW w:w="718" w:type="dxa"/>
            <w:tcBorders>
              <w:top w:val="nil"/>
              <w:left w:val="nil"/>
              <w:bottom w:val="nil"/>
              <w:right w:val="nil"/>
            </w:tcBorders>
            <w:shd w:val="clear" w:color="auto" w:fill="auto"/>
            <w:noWrap/>
            <w:vAlign w:val="bottom"/>
          </w:tcPr>
          <w:p w:rsidR="007E53C3" w:rsidRPr="007E53C3" w:rsidRDefault="007E53C3" w:rsidP="007E53C3">
            <w:pPr>
              <w:rPr>
                <w:sz w:val="20"/>
                <w:szCs w:val="20"/>
              </w:rPr>
            </w:pPr>
          </w:p>
        </w:tc>
      </w:tr>
    </w:tbl>
    <w:p w:rsidR="00D81DC1" w:rsidRPr="0083710C" w:rsidRDefault="008640C5" w:rsidP="00DF4009">
      <w:pPr>
        <w:ind w:left="1134" w:right="-284" w:hanging="1134"/>
        <w:jc w:val="both"/>
      </w:pPr>
      <w:r w:rsidRPr="008640C5">
        <w:rPr>
          <w:b/>
        </w:rPr>
        <w:t xml:space="preserve">AOP </w:t>
      </w:r>
      <w:r w:rsidR="00F0633F" w:rsidRPr="008640C5">
        <w:rPr>
          <w:b/>
        </w:rPr>
        <w:t>0</w:t>
      </w:r>
      <w:r w:rsidR="00EF71B6">
        <w:rPr>
          <w:b/>
        </w:rPr>
        <w:t>45</w:t>
      </w:r>
      <w:r w:rsidR="0061313C" w:rsidRPr="0042238E">
        <w:t xml:space="preserve"> </w:t>
      </w:r>
      <w:r w:rsidR="00270117">
        <w:t xml:space="preserve">- </w:t>
      </w:r>
      <w:r>
        <w:t>E</w:t>
      </w:r>
      <w:r w:rsidR="00D549AB">
        <w:t>videntiran</w:t>
      </w:r>
      <w:r w:rsidR="0061313C" w:rsidRPr="0042238E">
        <w:t xml:space="preserve"> je iznos </w:t>
      </w:r>
      <w:r w:rsidR="0042238E" w:rsidRPr="0042238E">
        <w:t xml:space="preserve">od </w:t>
      </w:r>
      <w:r w:rsidR="001B5DA4">
        <w:t>6.707.284,12</w:t>
      </w:r>
      <w:r w:rsidR="001F055F">
        <w:t xml:space="preserve"> kn uplaćene</w:t>
      </w:r>
      <w:r w:rsidR="00D11C5B">
        <w:t xml:space="preserve"> tranše</w:t>
      </w:r>
      <w:r w:rsidR="00F0633F" w:rsidRPr="0042238E">
        <w:t xml:space="preserve"> donacij</w:t>
      </w:r>
      <w:r w:rsidR="001F055F">
        <w:t>e</w:t>
      </w:r>
      <w:r w:rsidR="00F0633F" w:rsidRPr="0042238E">
        <w:t xml:space="preserve"> Razvojne banke Vijeć</w:t>
      </w:r>
      <w:r w:rsidR="001F055F">
        <w:t xml:space="preserve">a </w:t>
      </w:r>
      <w:r w:rsidR="007A26FB">
        <w:t>E</w:t>
      </w:r>
      <w:r w:rsidR="001F055F">
        <w:t>urope (CEB</w:t>
      </w:r>
      <w:r w:rsidR="001F055F" w:rsidRPr="0083710C">
        <w:t xml:space="preserve">) </w:t>
      </w:r>
      <w:r w:rsidR="00D81DC1" w:rsidRPr="0083710C">
        <w:t>temeljem odobrenih</w:t>
      </w:r>
      <w:r w:rsidR="00F0633F" w:rsidRPr="0083710C">
        <w:t xml:space="preserve"> projek</w:t>
      </w:r>
      <w:r w:rsidR="00D81DC1" w:rsidRPr="0083710C">
        <w:t>ata</w:t>
      </w:r>
      <w:r w:rsidR="00CB2087" w:rsidRPr="00CB2087">
        <w:t xml:space="preserve"> </w:t>
      </w:r>
      <w:r w:rsidR="00CB2087" w:rsidRPr="0083710C">
        <w:t>Regionalnog programa stambenog zbrinjavanja (RHP)</w:t>
      </w:r>
      <w:r w:rsidR="00CB2087">
        <w:t xml:space="preserve"> </w:t>
      </w:r>
      <w:r w:rsidR="00D81DC1" w:rsidRPr="0083710C">
        <w:t>:</w:t>
      </w:r>
    </w:p>
    <w:p w:rsidR="00D81DC1" w:rsidRDefault="0017519C" w:rsidP="00D81DC1">
      <w:pPr>
        <w:ind w:left="1134" w:right="-284"/>
        <w:jc w:val="both"/>
      </w:pPr>
      <w:r>
        <w:t>- HR6</w:t>
      </w:r>
      <w:r w:rsidR="00D81DC1" w:rsidRPr="0083710C">
        <w:t xml:space="preserve"> </w:t>
      </w:r>
      <w:r>
        <w:t xml:space="preserve">Obnova, rekonstrukcija ili izgradnja 62 obiteljske kuće </w:t>
      </w:r>
    </w:p>
    <w:p w:rsidR="0083710C" w:rsidRPr="0083710C" w:rsidRDefault="0083710C" w:rsidP="00D81DC1">
      <w:pPr>
        <w:ind w:left="1134" w:right="-284"/>
        <w:jc w:val="both"/>
      </w:pPr>
      <w:r>
        <w:t>- HR</w:t>
      </w:r>
      <w:r w:rsidR="003B1143">
        <w:t>8 Obnova, rekonstrukcija ili izgradnja 25 obiteljskih kuća</w:t>
      </w:r>
    </w:p>
    <w:p w:rsidR="009325CE" w:rsidRDefault="009325CE" w:rsidP="00D81DC1">
      <w:pPr>
        <w:ind w:left="1134" w:right="-284"/>
        <w:jc w:val="both"/>
      </w:pPr>
      <w:r w:rsidRPr="009325CE">
        <w:t xml:space="preserve">- </w:t>
      </w:r>
      <w:r>
        <w:t>HR9 Kupnja 38 stanova</w:t>
      </w:r>
    </w:p>
    <w:p w:rsidR="00B7747A" w:rsidRDefault="00B7747A" w:rsidP="00D81DC1">
      <w:pPr>
        <w:ind w:left="1134" w:right="-284"/>
        <w:jc w:val="both"/>
      </w:pPr>
    </w:p>
    <w:p w:rsidR="00894E1A" w:rsidRDefault="00175888" w:rsidP="00B35BF0">
      <w:pPr>
        <w:spacing w:line="259" w:lineRule="auto"/>
        <w:ind w:right="-284"/>
        <w:jc w:val="both"/>
      </w:pPr>
      <w:r w:rsidRPr="00B35BF0">
        <w:rPr>
          <w:b/>
        </w:rPr>
        <w:lastRenderedPageBreak/>
        <w:t>AOP 119</w:t>
      </w:r>
      <w:r w:rsidR="00E37093" w:rsidRPr="00B35BF0">
        <w:rPr>
          <w:b/>
        </w:rPr>
        <w:t xml:space="preserve"> </w:t>
      </w:r>
      <w:r w:rsidR="00DD22E2" w:rsidRPr="00B35BF0">
        <w:rPr>
          <w:b/>
        </w:rPr>
        <w:t>–</w:t>
      </w:r>
      <w:r w:rsidR="00DA2FD9">
        <w:t xml:space="preserve"> </w:t>
      </w:r>
      <w:r w:rsidR="00DD22E2">
        <w:t>Sredstva iskazana na ovoj poziciji odnose se na donacije</w:t>
      </w:r>
      <w:r w:rsidR="00894E1A">
        <w:t xml:space="preserve"> prikupljene temeljem Odluke o raspodjeli donacija financijskih sredstava uplaćenih na račun državnog proračuna u akciji „Pomoć za obnovu nakon potresa“ Vlade RH sredstva su raspoređena na pozicije SDUOSZ s namjenom sanacije šteta na obiteljskim kućama stradalih u potresu, evidentirana su na izvoru financiranja 61 – Donacije.</w:t>
      </w:r>
    </w:p>
    <w:p w:rsidR="00BD4E86" w:rsidRPr="00202225" w:rsidRDefault="00DD22E2" w:rsidP="00DD22E2">
      <w:pPr>
        <w:ind w:left="1134" w:hanging="1134"/>
        <w:jc w:val="both"/>
      </w:pPr>
      <w:r>
        <w:t xml:space="preserve"> </w:t>
      </w:r>
    </w:p>
    <w:p w:rsidR="00BD4E86" w:rsidRPr="00202225" w:rsidRDefault="00BD4E86" w:rsidP="00DF4009">
      <w:pPr>
        <w:ind w:left="1134" w:right="-284" w:hanging="1134"/>
        <w:jc w:val="both"/>
      </w:pPr>
    </w:p>
    <w:p w:rsidR="00E37093" w:rsidRDefault="00E37093" w:rsidP="00DF4009">
      <w:pPr>
        <w:ind w:left="1134" w:right="-284" w:hanging="1134"/>
        <w:jc w:val="both"/>
      </w:pPr>
      <w:r>
        <w:rPr>
          <w:b/>
        </w:rPr>
        <w:t xml:space="preserve">AOP </w:t>
      </w:r>
      <w:r w:rsidR="00B426B1">
        <w:rPr>
          <w:b/>
        </w:rPr>
        <w:t xml:space="preserve">130 </w:t>
      </w:r>
      <w:r w:rsidR="00A05D33">
        <w:rPr>
          <w:b/>
        </w:rPr>
        <w:t>-</w:t>
      </w:r>
      <w:r w:rsidR="00F86C9A">
        <w:t xml:space="preserve"> Prihodi iz proračuna iznose 74</w:t>
      </w:r>
      <w:r w:rsidR="00B426B1">
        <w:t xml:space="preserve">% ukupnih prihoda, od čega se </w:t>
      </w:r>
      <w:r w:rsidR="0008227C">
        <w:t xml:space="preserve">iznos od </w:t>
      </w:r>
      <w:r w:rsidR="00992AF1">
        <w:t>1</w:t>
      </w:r>
      <w:r w:rsidR="00F86C9A">
        <w:t>28.985.666,81</w:t>
      </w:r>
      <w:r w:rsidR="00B426B1">
        <w:t xml:space="preserve"> kn odnosi na prihode za financiranje rashoda poslovanja, a</w:t>
      </w:r>
      <w:r w:rsidR="0008227C">
        <w:t xml:space="preserve"> iznos od</w:t>
      </w:r>
      <w:r w:rsidR="00B426B1">
        <w:t xml:space="preserve"> </w:t>
      </w:r>
      <w:r w:rsidR="00F86C9A">
        <w:t>41.213.675,80</w:t>
      </w:r>
      <w:r w:rsidR="00B426B1">
        <w:t xml:space="preserve"> kn na prihode za nabavu nefinancijske imovine.</w:t>
      </w:r>
    </w:p>
    <w:p w:rsidR="00822FE0" w:rsidRDefault="00822FE0" w:rsidP="00DF4009">
      <w:pPr>
        <w:ind w:left="1134" w:right="-284" w:hanging="1134"/>
        <w:jc w:val="both"/>
      </w:pPr>
    </w:p>
    <w:p w:rsidR="000F2EC6" w:rsidRPr="001935CC" w:rsidRDefault="001935CC" w:rsidP="00A443DB">
      <w:pPr>
        <w:jc w:val="both"/>
        <w:rPr>
          <w:b/>
        </w:rPr>
      </w:pPr>
      <w:r w:rsidRPr="001935CC">
        <w:rPr>
          <w:b/>
        </w:rPr>
        <w:t>RASHODI POSLOVANJA</w:t>
      </w:r>
    </w:p>
    <w:p w:rsidR="000F2EC6" w:rsidRDefault="000F2EC6" w:rsidP="00A443DB">
      <w:pPr>
        <w:jc w:val="both"/>
      </w:pPr>
    </w:p>
    <w:p w:rsidR="000F2EC6" w:rsidRDefault="000F2EC6" w:rsidP="00A443DB">
      <w:pPr>
        <w:jc w:val="both"/>
      </w:pPr>
    </w:p>
    <w:p w:rsidR="00266DFE" w:rsidRDefault="0077697D" w:rsidP="00A443DB">
      <w:pPr>
        <w:jc w:val="both"/>
      </w:pPr>
      <w:r w:rsidRPr="0077697D">
        <w:t>Rashodi poslovanja i rashodi za nabavku nefinancijske imovine</w:t>
      </w:r>
    </w:p>
    <w:p w:rsidR="005D1D0F" w:rsidRDefault="005D1D0F" w:rsidP="00A443DB">
      <w:pPr>
        <w:jc w:val="both"/>
      </w:pPr>
    </w:p>
    <w:p w:rsidR="005D1D0F" w:rsidRDefault="005D1D0F" w:rsidP="00A443DB">
      <w:pPr>
        <w:jc w:val="both"/>
      </w:pPr>
    </w:p>
    <w:tbl>
      <w:tblPr>
        <w:tblW w:w="10060" w:type="dxa"/>
        <w:tblLook w:val="04A0" w:firstRow="1" w:lastRow="0" w:firstColumn="1" w:lastColumn="0" w:noHBand="0" w:noVBand="1"/>
      </w:tblPr>
      <w:tblGrid>
        <w:gridCol w:w="790"/>
        <w:gridCol w:w="3430"/>
        <w:gridCol w:w="1716"/>
        <w:gridCol w:w="1716"/>
        <w:gridCol w:w="895"/>
        <w:gridCol w:w="816"/>
        <w:gridCol w:w="697"/>
      </w:tblGrid>
      <w:tr w:rsidR="007E23C2" w:rsidRPr="007E23C2" w:rsidTr="007E23C2">
        <w:trPr>
          <w:trHeight w:val="690"/>
        </w:trPr>
        <w:tc>
          <w:tcPr>
            <w:tcW w:w="7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E23C2" w:rsidRPr="007E23C2" w:rsidRDefault="007E23C2" w:rsidP="007E23C2">
            <w:pPr>
              <w:jc w:val="center"/>
              <w:rPr>
                <w:color w:val="000000"/>
              </w:rPr>
            </w:pPr>
            <w:r w:rsidRPr="007E23C2">
              <w:rPr>
                <w:color w:val="000000"/>
              </w:rPr>
              <w:t>Redni broj</w:t>
            </w:r>
          </w:p>
        </w:tc>
        <w:tc>
          <w:tcPr>
            <w:tcW w:w="3900" w:type="dxa"/>
            <w:tcBorders>
              <w:top w:val="single" w:sz="4" w:space="0" w:color="auto"/>
              <w:left w:val="nil"/>
              <w:bottom w:val="single" w:sz="4" w:space="0" w:color="auto"/>
              <w:right w:val="single" w:sz="4" w:space="0" w:color="auto"/>
            </w:tcBorders>
            <w:shd w:val="clear" w:color="000000" w:fill="FFFF00"/>
            <w:vAlign w:val="center"/>
            <w:hideMark/>
          </w:tcPr>
          <w:p w:rsidR="007E23C2" w:rsidRPr="007E23C2" w:rsidRDefault="007E23C2" w:rsidP="007E23C2">
            <w:pPr>
              <w:jc w:val="center"/>
              <w:rPr>
                <w:color w:val="000000"/>
              </w:rPr>
            </w:pPr>
            <w:r w:rsidRPr="007E23C2">
              <w:rPr>
                <w:color w:val="000000"/>
              </w:rPr>
              <w:t>Rashodi</w:t>
            </w:r>
          </w:p>
        </w:tc>
        <w:tc>
          <w:tcPr>
            <w:tcW w:w="1600" w:type="dxa"/>
            <w:tcBorders>
              <w:top w:val="single" w:sz="4" w:space="0" w:color="auto"/>
              <w:left w:val="nil"/>
              <w:bottom w:val="single" w:sz="4" w:space="0" w:color="auto"/>
              <w:right w:val="single" w:sz="4" w:space="0" w:color="auto"/>
            </w:tcBorders>
            <w:shd w:val="clear" w:color="000000" w:fill="FFFF00"/>
            <w:vAlign w:val="center"/>
            <w:hideMark/>
          </w:tcPr>
          <w:p w:rsidR="007E23C2" w:rsidRPr="007E23C2" w:rsidRDefault="007E23C2" w:rsidP="007E23C2">
            <w:pPr>
              <w:jc w:val="center"/>
              <w:rPr>
                <w:color w:val="000000"/>
              </w:rPr>
            </w:pPr>
            <w:r w:rsidRPr="007E23C2">
              <w:rPr>
                <w:color w:val="000000"/>
              </w:rPr>
              <w:t>Ostvareno 2020.</w:t>
            </w:r>
          </w:p>
        </w:tc>
        <w:tc>
          <w:tcPr>
            <w:tcW w:w="1600" w:type="dxa"/>
            <w:tcBorders>
              <w:top w:val="single" w:sz="4" w:space="0" w:color="auto"/>
              <w:left w:val="nil"/>
              <w:bottom w:val="single" w:sz="4" w:space="0" w:color="auto"/>
              <w:right w:val="single" w:sz="4" w:space="0" w:color="auto"/>
            </w:tcBorders>
            <w:shd w:val="clear" w:color="000000" w:fill="FFFF00"/>
            <w:vAlign w:val="center"/>
            <w:hideMark/>
          </w:tcPr>
          <w:p w:rsidR="007E23C2" w:rsidRPr="007E23C2" w:rsidRDefault="007E23C2" w:rsidP="007E23C2">
            <w:pPr>
              <w:jc w:val="center"/>
              <w:rPr>
                <w:color w:val="000000"/>
              </w:rPr>
            </w:pPr>
            <w:r w:rsidRPr="007E23C2">
              <w:rPr>
                <w:color w:val="000000"/>
              </w:rPr>
              <w:t>Ostvareno 2021.</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7E23C2" w:rsidRPr="007E23C2" w:rsidRDefault="007E23C2" w:rsidP="007E23C2">
            <w:pPr>
              <w:jc w:val="center"/>
              <w:rPr>
                <w:color w:val="000000"/>
              </w:rPr>
            </w:pPr>
            <w:r w:rsidRPr="007E23C2">
              <w:rPr>
                <w:color w:val="000000"/>
              </w:rPr>
              <w:t>Ind.</w:t>
            </w:r>
          </w:p>
        </w:tc>
        <w:tc>
          <w:tcPr>
            <w:tcW w:w="700" w:type="dxa"/>
            <w:tcBorders>
              <w:top w:val="single" w:sz="4" w:space="0" w:color="auto"/>
              <w:left w:val="nil"/>
              <w:bottom w:val="single" w:sz="4" w:space="0" w:color="auto"/>
              <w:right w:val="single" w:sz="4" w:space="0" w:color="auto"/>
            </w:tcBorders>
            <w:shd w:val="clear" w:color="000000" w:fill="FFFF00"/>
            <w:vAlign w:val="center"/>
            <w:hideMark/>
          </w:tcPr>
          <w:p w:rsidR="007E23C2" w:rsidRPr="007E23C2" w:rsidRDefault="007E23C2" w:rsidP="007E23C2">
            <w:pPr>
              <w:jc w:val="center"/>
              <w:rPr>
                <w:color w:val="000000"/>
              </w:rPr>
            </w:pPr>
            <w:r w:rsidRPr="007E23C2">
              <w:rPr>
                <w:color w:val="000000"/>
              </w:rPr>
              <w:t>Grupa konta</w:t>
            </w:r>
          </w:p>
        </w:tc>
        <w:tc>
          <w:tcPr>
            <w:tcW w:w="580" w:type="dxa"/>
            <w:tcBorders>
              <w:top w:val="single" w:sz="4" w:space="0" w:color="auto"/>
              <w:left w:val="nil"/>
              <w:bottom w:val="single" w:sz="4" w:space="0" w:color="auto"/>
              <w:right w:val="single" w:sz="4" w:space="0" w:color="auto"/>
            </w:tcBorders>
            <w:shd w:val="clear" w:color="000000" w:fill="FFFF00"/>
            <w:vAlign w:val="center"/>
            <w:hideMark/>
          </w:tcPr>
          <w:p w:rsidR="007E23C2" w:rsidRPr="007E23C2" w:rsidRDefault="007E23C2" w:rsidP="007E23C2">
            <w:pPr>
              <w:jc w:val="center"/>
              <w:rPr>
                <w:color w:val="000000"/>
              </w:rPr>
            </w:pPr>
            <w:r w:rsidRPr="007E23C2">
              <w:rPr>
                <w:color w:val="000000"/>
              </w:rPr>
              <w:t>AOP</w:t>
            </w:r>
          </w:p>
        </w:tc>
      </w:tr>
      <w:tr w:rsidR="007E23C2" w:rsidRPr="007E23C2" w:rsidTr="007E23C2">
        <w:trPr>
          <w:trHeight w:val="3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 </w:t>
            </w:r>
          </w:p>
        </w:tc>
        <w:tc>
          <w:tcPr>
            <w:tcW w:w="3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rPr>
                <w:color w:val="000000"/>
              </w:rPr>
            </w:pPr>
            <w:r w:rsidRPr="007E23C2">
              <w:rPr>
                <w:color w:val="000000"/>
              </w:rPr>
              <w:t>Rashodi poslovanja</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 </w:t>
            </w:r>
          </w:p>
        </w:tc>
        <w:tc>
          <w:tcPr>
            <w:tcW w:w="7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 </w:t>
            </w:r>
          </w:p>
        </w:tc>
      </w:tr>
      <w:tr w:rsidR="007E23C2" w:rsidRPr="007E23C2" w:rsidTr="007E23C2">
        <w:trPr>
          <w:trHeight w:val="3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1</w:t>
            </w:r>
          </w:p>
        </w:tc>
        <w:tc>
          <w:tcPr>
            <w:tcW w:w="3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rPr>
                <w:color w:val="000000"/>
              </w:rPr>
            </w:pPr>
            <w:r w:rsidRPr="007E23C2">
              <w:rPr>
                <w:color w:val="000000"/>
              </w:rPr>
              <w:t>Rashodi za zaposlene</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19.359.179,39</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20.349.749,89</w:t>
            </w:r>
          </w:p>
        </w:tc>
        <w:tc>
          <w:tcPr>
            <w:tcW w:w="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105,12</w:t>
            </w:r>
          </w:p>
        </w:tc>
        <w:tc>
          <w:tcPr>
            <w:tcW w:w="7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31</w:t>
            </w:r>
          </w:p>
        </w:tc>
        <w:tc>
          <w:tcPr>
            <w:tcW w:w="58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147</w:t>
            </w:r>
          </w:p>
        </w:tc>
      </w:tr>
      <w:tr w:rsidR="007E23C2" w:rsidRPr="007E23C2" w:rsidTr="007E23C2">
        <w:trPr>
          <w:trHeight w:val="3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2</w:t>
            </w:r>
          </w:p>
        </w:tc>
        <w:tc>
          <w:tcPr>
            <w:tcW w:w="3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rPr>
                <w:color w:val="000000"/>
              </w:rPr>
            </w:pPr>
            <w:r w:rsidRPr="007E23C2">
              <w:rPr>
                <w:color w:val="000000"/>
              </w:rPr>
              <w:t>Materijalni rashodi</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34.948.973,67</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33.505.005,19</w:t>
            </w:r>
          </w:p>
        </w:tc>
        <w:tc>
          <w:tcPr>
            <w:tcW w:w="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95,87</w:t>
            </w:r>
          </w:p>
        </w:tc>
        <w:tc>
          <w:tcPr>
            <w:tcW w:w="7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32</w:t>
            </w:r>
          </w:p>
        </w:tc>
        <w:tc>
          <w:tcPr>
            <w:tcW w:w="58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158</w:t>
            </w:r>
          </w:p>
        </w:tc>
      </w:tr>
      <w:tr w:rsidR="007E23C2" w:rsidRPr="007E23C2" w:rsidTr="007E23C2">
        <w:trPr>
          <w:trHeight w:val="3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3</w:t>
            </w:r>
          </w:p>
        </w:tc>
        <w:tc>
          <w:tcPr>
            <w:tcW w:w="3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rPr>
                <w:color w:val="000000"/>
              </w:rPr>
            </w:pPr>
            <w:r w:rsidRPr="007E23C2">
              <w:rPr>
                <w:color w:val="000000"/>
              </w:rPr>
              <w:t>Financijski rashodi</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23.255,82</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6.773,67</w:t>
            </w:r>
          </w:p>
        </w:tc>
        <w:tc>
          <w:tcPr>
            <w:tcW w:w="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29,13</w:t>
            </w:r>
          </w:p>
        </w:tc>
        <w:tc>
          <w:tcPr>
            <w:tcW w:w="7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34</w:t>
            </w:r>
          </w:p>
        </w:tc>
        <w:tc>
          <w:tcPr>
            <w:tcW w:w="58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191</w:t>
            </w:r>
          </w:p>
        </w:tc>
      </w:tr>
      <w:tr w:rsidR="007E23C2" w:rsidRPr="007E23C2" w:rsidTr="007E23C2">
        <w:trPr>
          <w:trHeight w:val="3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4</w:t>
            </w:r>
          </w:p>
        </w:tc>
        <w:tc>
          <w:tcPr>
            <w:tcW w:w="3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rPr>
                <w:color w:val="000000"/>
              </w:rPr>
            </w:pPr>
            <w:r w:rsidRPr="007E23C2">
              <w:rPr>
                <w:color w:val="000000"/>
              </w:rPr>
              <w:t>Pomoći unutar države</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9.221.641,38</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13.915.988,18</w:t>
            </w:r>
          </w:p>
        </w:tc>
        <w:tc>
          <w:tcPr>
            <w:tcW w:w="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150,91</w:t>
            </w:r>
          </w:p>
        </w:tc>
        <w:tc>
          <w:tcPr>
            <w:tcW w:w="7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36</w:t>
            </w:r>
          </w:p>
        </w:tc>
        <w:tc>
          <w:tcPr>
            <w:tcW w:w="58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219</w:t>
            </w:r>
          </w:p>
        </w:tc>
      </w:tr>
      <w:tr w:rsidR="007E23C2" w:rsidRPr="007E23C2" w:rsidTr="007E23C2">
        <w:trPr>
          <w:trHeight w:val="3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5</w:t>
            </w:r>
          </w:p>
        </w:tc>
        <w:tc>
          <w:tcPr>
            <w:tcW w:w="3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rPr>
                <w:color w:val="000000"/>
              </w:rPr>
            </w:pPr>
            <w:r w:rsidRPr="007E23C2">
              <w:rPr>
                <w:color w:val="000000"/>
              </w:rPr>
              <w:t xml:space="preserve">Naknade građanima i kućanstvima </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119.244,88</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92.600,00</w:t>
            </w:r>
          </w:p>
        </w:tc>
        <w:tc>
          <w:tcPr>
            <w:tcW w:w="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77,66</w:t>
            </w:r>
          </w:p>
        </w:tc>
        <w:tc>
          <w:tcPr>
            <w:tcW w:w="7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37</w:t>
            </w:r>
          </w:p>
        </w:tc>
        <w:tc>
          <w:tcPr>
            <w:tcW w:w="58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247</w:t>
            </w:r>
          </w:p>
        </w:tc>
      </w:tr>
      <w:tr w:rsidR="007E23C2" w:rsidRPr="007E23C2" w:rsidTr="007E23C2">
        <w:trPr>
          <w:trHeight w:val="3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6</w:t>
            </w:r>
          </w:p>
        </w:tc>
        <w:tc>
          <w:tcPr>
            <w:tcW w:w="3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rPr>
                <w:color w:val="000000"/>
              </w:rPr>
            </w:pPr>
            <w:r w:rsidRPr="007E23C2">
              <w:rPr>
                <w:color w:val="000000"/>
              </w:rPr>
              <w:t>Ostali rashodi</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80.400.110,72</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102.579.869,08</w:t>
            </w:r>
          </w:p>
        </w:tc>
        <w:tc>
          <w:tcPr>
            <w:tcW w:w="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127,59</w:t>
            </w:r>
          </w:p>
        </w:tc>
        <w:tc>
          <w:tcPr>
            <w:tcW w:w="7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38</w:t>
            </w:r>
          </w:p>
        </w:tc>
        <w:tc>
          <w:tcPr>
            <w:tcW w:w="58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258</w:t>
            </w:r>
          </w:p>
        </w:tc>
      </w:tr>
      <w:tr w:rsidR="007E23C2" w:rsidRPr="007E23C2" w:rsidTr="007E23C2">
        <w:trPr>
          <w:trHeight w:val="3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 </w:t>
            </w:r>
          </w:p>
        </w:tc>
        <w:tc>
          <w:tcPr>
            <w:tcW w:w="3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rPr>
                <w:color w:val="000000"/>
              </w:rPr>
            </w:pPr>
            <w:r w:rsidRPr="007E23C2">
              <w:rPr>
                <w:color w:val="000000"/>
              </w:rPr>
              <w:t>Rashodi poslovanja ukupno</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b/>
                <w:bCs/>
                <w:color w:val="000000"/>
              </w:rPr>
            </w:pPr>
            <w:r w:rsidRPr="007E23C2">
              <w:rPr>
                <w:b/>
                <w:bCs/>
                <w:color w:val="000000"/>
              </w:rPr>
              <w:t>144.072.405,86</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b/>
                <w:bCs/>
                <w:color w:val="000000"/>
              </w:rPr>
            </w:pPr>
            <w:r w:rsidRPr="007E23C2">
              <w:rPr>
                <w:b/>
                <w:bCs/>
                <w:color w:val="000000"/>
              </w:rPr>
              <w:t>170.449.986,01</w:t>
            </w:r>
          </w:p>
        </w:tc>
        <w:tc>
          <w:tcPr>
            <w:tcW w:w="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118,31</w:t>
            </w:r>
          </w:p>
        </w:tc>
        <w:tc>
          <w:tcPr>
            <w:tcW w:w="7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3</w:t>
            </w:r>
          </w:p>
        </w:tc>
        <w:tc>
          <w:tcPr>
            <w:tcW w:w="58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146</w:t>
            </w:r>
          </w:p>
        </w:tc>
      </w:tr>
      <w:tr w:rsidR="007E23C2" w:rsidRPr="007E23C2" w:rsidTr="007E23C2">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7</w:t>
            </w:r>
          </w:p>
        </w:tc>
        <w:tc>
          <w:tcPr>
            <w:tcW w:w="3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rPr>
                <w:color w:val="000000"/>
              </w:rPr>
            </w:pPr>
            <w:r w:rsidRPr="007E23C2">
              <w:rPr>
                <w:color w:val="000000"/>
              </w:rPr>
              <w:t>Rashodi za nabavku nefinancijske imovine</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b/>
                <w:bCs/>
                <w:color w:val="000000"/>
              </w:rPr>
            </w:pPr>
            <w:r w:rsidRPr="007E23C2">
              <w:rPr>
                <w:b/>
                <w:bCs/>
                <w:color w:val="000000"/>
              </w:rPr>
              <w:t>54.108.463,24</w:t>
            </w:r>
          </w:p>
        </w:tc>
        <w:tc>
          <w:tcPr>
            <w:tcW w:w="16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b/>
                <w:bCs/>
                <w:color w:val="000000"/>
              </w:rPr>
            </w:pPr>
            <w:r w:rsidRPr="007E23C2">
              <w:rPr>
                <w:b/>
                <w:bCs/>
                <w:color w:val="000000"/>
              </w:rPr>
              <w:t>47.128.425,78</w:t>
            </w:r>
          </w:p>
        </w:tc>
        <w:tc>
          <w:tcPr>
            <w:tcW w:w="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87,10</w:t>
            </w:r>
          </w:p>
        </w:tc>
        <w:tc>
          <w:tcPr>
            <w:tcW w:w="7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4</w:t>
            </w:r>
          </w:p>
        </w:tc>
        <w:tc>
          <w:tcPr>
            <w:tcW w:w="58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center"/>
              <w:rPr>
                <w:color w:val="000000"/>
              </w:rPr>
            </w:pPr>
            <w:r w:rsidRPr="007E23C2">
              <w:rPr>
                <w:color w:val="000000"/>
              </w:rPr>
              <w:t>344</w:t>
            </w:r>
          </w:p>
        </w:tc>
      </w:tr>
      <w:tr w:rsidR="007E23C2" w:rsidRPr="007E23C2" w:rsidTr="007E23C2">
        <w:trPr>
          <w:trHeight w:val="480"/>
        </w:trPr>
        <w:tc>
          <w:tcPr>
            <w:tcW w:w="46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7E23C2" w:rsidRPr="007E23C2" w:rsidRDefault="007E23C2" w:rsidP="007E23C2">
            <w:pPr>
              <w:jc w:val="center"/>
              <w:rPr>
                <w:b/>
                <w:bCs/>
                <w:color w:val="000000"/>
              </w:rPr>
            </w:pPr>
            <w:r w:rsidRPr="007E23C2">
              <w:rPr>
                <w:b/>
                <w:bCs/>
                <w:color w:val="000000"/>
              </w:rPr>
              <w:t>Ukupno</w:t>
            </w:r>
          </w:p>
        </w:tc>
        <w:tc>
          <w:tcPr>
            <w:tcW w:w="1600" w:type="dxa"/>
            <w:tcBorders>
              <w:top w:val="nil"/>
              <w:left w:val="nil"/>
              <w:bottom w:val="single" w:sz="4" w:space="0" w:color="auto"/>
              <w:right w:val="single" w:sz="4" w:space="0" w:color="auto"/>
            </w:tcBorders>
            <w:shd w:val="clear" w:color="000000" w:fill="D9D9D9"/>
            <w:vAlign w:val="center"/>
            <w:hideMark/>
          </w:tcPr>
          <w:p w:rsidR="007E23C2" w:rsidRPr="007E23C2" w:rsidRDefault="007E23C2" w:rsidP="007E23C2">
            <w:pPr>
              <w:jc w:val="right"/>
              <w:rPr>
                <w:b/>
                <w:bCs/>
                <w:color w:val="000000"/>
              </w:rPr>
            </w:pPr>
            <w:r w:rsidRPr="007E23C2">
              <w:rPr>
                <w:b/>
                <w:bCs/>
                <w:color w:val="000000"/>
              </w:rPr>
              <w:t>198.180.869,10</w:t>
            </w:r>
          </w:p>
        </w:tc>
        <w:tc>
          <w:tcPr>
            <w:tcW w:w="1600" w:type="dxa"/>
            <w:tcBorders>
              <w:top w:val="nil"/>
              <w:left w:val="nil"/>
              <w:bottom w:val="single" w:sz="4" w:space="0" w:color="auto"/>
              <w:right w:val="single" w:sz="4" w:space="0" w:color="auto"/>
            </w:tcBorders>
            <w:shd w:val="clear" w:color="000000" w:fill="D9D9D9"/>
            <w:vAlign w:val="center"/>
            <w:hideMark/>
          </w:tcPr>
          <w:p w:rsidR="007E23C2" w:rsidRPr="007E23C2" w:rsidRDefault="007E23C2" w:rsidP="007E23C2">
            <w:pPr>
              <w:jc w:val="right"/>
              <w:rPr>
                <w:b/>
                <w:bCs/>
                <w:color w:val="000000"/>
              </w:rPr>
            </w:pPr>
            <w:r w:rsidRPr="007E23C2">
              <w:rPr>
                <w:b/>
                <w:bCs/>
                <w:color w:val="000000"/>
              </w:rPr>
              <w:t>217.578.411,79</w:t>
            </w:r>
          </w:p>
        </w:tc>
        <w:tc>
          <w:tcPr>
            <w:tcW w:w="900" w:type="dxa"/>
            <w:tcBorders>
              <w:top w:val="nil"/>
              <w:left w:val="nil"/>
              <w:bottom w:val="single" w:sz="4" w:space="0" w:color="auto"/>
              <w:right w:val="single" w:sz="4" w:space="0" w:color="auto"/>
            </w:tcBorders>
            <w:shd w:val="clear" w:color="auto" w:fill="auto"/>
            <w:vAlign w:val="center"/>
            <w:hideMark/>
          </w:tcPr>
          <w:p w:rsidR="007E23C2" w:rsidRPr="007E23C2" w:rsidRDefault="007E23C2" w:rsidP="007E23C2">
            <w:pPr>
              <w:jc w:val="right"/>
              <w:rPr>
                <w:color w:val="000000"/>
              </w:rPr>
            </w:pPr>
            <w:r w:rsidRPr="007E23C2">
              <w:rPr>
                <w:color w:val="000000"/>
              </w:rPr>
              <w:t>109,79</w:t>
            </w:r>
          </w:p>
        </w:tc>
        <w:tc>
          <w:tcPr>
            <w:tcW w:w="700" w:type="dxa"/>
            <w:tcBorders>
              <w:top w:val="nil"/>
              <w:left w:val="nil"/>
              <w:bottom w:val="single" w:sz="4" w:space="0" w:color="auto"/>
              <w:right w:val="single" w:sz="4" w:space="0" w:color="auto"/>
            </w:tcBorders>
            <w:shd w:val="clear" w:color="000000" w:fill="D9D9D9"/>
            <w:vAlign w:val="center"/>
            <w:hideMark/>
          </w:tcPr>
          <w:p w:rsidR="007E23C2" w:rsidRPr="007E23C2" w:rsidRDefault="007E23C2" w:rsidP="007E23C2">
            <w:pPr>
              <w:jc w:val="center"/>
              <w:rPr>
                <w:color w:val="000000"/>
              </w:rPr>
            </w:pPr>
            <w:r w:rsidRPr="007E23C2">
              <w:rPr>
                <w:color w:val="000000"/>
              </w:rPr>
              <w:t>3+4</w:t>
            </w:r>
          </w:p>
        </w:tc>
        <w:tc>
          <w:tcPr>
            <w:tcW w:w="580" w:type="dxa"/>
            <w:tcBorders>
              <w:top w:val="nil"/>
              <w:left w:val="nil"/>
              <w:bottom w:val="single" w:sz="4" w:space="0" w:color="auto"/>
              <w:right w:val="single" w:sz="4" w:space="0" w:color="auto"/>
            </w:tcBorders>
            <w:shd w:val="clear" w:color="000000" w:fill="D9D9D9"/>
            <w:vAlign w:val="center"/>
            <w:hideMark/>
          </w:tcPr>
          <w:p w:rsidR="007E23C2" w:rsidRPr="007E23C2" w:rsidRDefault="007E23C2" w:rsidP="007E23C2">
            <w:pPr>
              <w:jc w:val="center"/>
              <w:rPr>
                <w:color w:val="000000"/>
              </w:rPr>
            </w:pPr>
            <w:r w:rsidRPr="007E23C2">
              <w:rPr>
                <w:color w:val="000000"/>
              </w:rPr>
              <w:t>633</w:t>
            </w:r>
          </w:p>
        </w:tc>
      </w:tr>
    </w:tbl>
    <w:p w:rsidR="002004F6" w:rsidRDefault="002004F6" w:rsidP="00A443DB">
      <w:pPr>
        <w:jc w:val="both"/>
      </w:pPr>
    </w:p>
    <w:p w:rsidR="00F0633F" w:rsidRPr="0042238E" w:rsidRDefault="00F0633F" w:rsidP="00A443DB">
      <w:pPr>
        <w:jc w:val="both"/>
      </w:pPr>
      <w:r w:rsidRPr="0042238E">
        <w:t>.</w:t>
      </w:r>
    </w:p>
    <w:p w:rsidR="001935CC" w:rsidRDefault="001935CC" w:rsidP="00DF4009">
      <w:pPr>
        <w:ind w:left="1134" w:right="-284" w:hanging="1134"/>
        <w:jc w:val="both"/>
      </w:pPr>
      <w:r w:rsidRPr="001935CC">
        <w:rPr>
          <w:b/>
        </w:rPr>
        <w:t>AOP 14</w:t>
      </w:r>
      <w:r w:rsidR="009F2883">
        <w:rPr>
          <w:b/>
        </w:rPr>
        <w:t>6</w:t>
      </w:r>
      <w:r w:rsidR="00FF64DC">
        <w:rPr>
          <w:b/>
        </w:rPr>
        <w:t xml:space="preserve"> </w:t>
      </w:r>
      <w:r w:rsidR="00947FC9">
        <w:rPr>
          <w:b/>
        </w:rPr>
        <w:t>-</w:t>
      </w:r>
      <w:r w:rsidR="00FF64DC">
        <w:rPr>
          <w:b/>
        </w:rPr>
        <w:t xml:space="preserve"> </w:t>
      </w:r>
      <w:r w:rsidRPr="001935CC">
        <w:t xml:space="preserve">Ukupni </w:t>
      </w:r>
      <w:r>
        <w:t xml:space="preserve">rashodi poslovanja iznose </w:t>
      </w:r>
      <w:r w:rsidR="009F2883">
        <w:t>170.449.986,01</w:t>
      </w:r>
      <w:r w:rsidR="00947FC9">
        <w:t xml:space="preserve"> kn, što predstavlja </w:t>
      </w:r>
      <w:r w:rsidR="00822FE0">
        <w:t>1</w:t>
      </w:r>
      <w:r w:rsidR="009F2883">
        <w:t>8,3</w:t>
      </w:r>
      <w:r w:rsidR="00947FC9">
        <w:t xml:space="preserve"> %</w:t>
      </w:r>
      <w:r w:rsidR="00FF64DC">
        <w:t xml:space="preserve"> </w:t>
      </w:r>
      <w:r w:rsidR="00947FC9">
        <w:t xml:space="preserve"> </w:t>
      </w:r>
      <w:r w:rsidR="007A47B7">
        <w:t>povećanja</w:t>
      </w:r>
      <w:r w:rsidR="00822FE0">
        <w:t xml:space="preserve"> </w:t>
      </w:r>
      <w:r w:rsidR="00947FC9">
        <w:t>u odnosu na visinu rashoda</w:t>
      </w:r>
      <w:r w:rsidR="00822FE0">
        <w:t xml:space="preserve"> poslovanja</w:t>
      </w:r>
      <w:r w:rsidR="009F2883">
        <w:t xml:space="preserve"> iz 2020</w:t>
      </w:r>
      <w:r w:rsidR="00947FC9">
        <w:t>. godine.</w:t>
      </w:r>
    </w:p>
    <w:p w:rsidR="009F2883" w:rsidRDefault="009F2883" w:rsidP="00DF4009">
      <w:pPr>
        <w:ind w:left="1134" w:right="-284" w:hanging="1134"/>
        <w:jc w:val="both"/>
      </w:pPr>
    </w:p>
    <w:p w:rsidR="00FD2865" w:rsidRDefault="009F2883" w:rsidP="00DF4009">
      <w:pPr>
        <w:ind w:left="1134" w:right="-284" w:hanging="1134"/>
        <w:jc w:val="both"/>
      </w:pPr>
      <w:r>
        <w:t xml:space="preserve">                   </w:t>
      </w:r>
      <w:r w:rsidR="00FD2865">
        <w:t xml:space="preserve">U </w:t>
      </w:r>
      <w:r w:rsidR="006045DE">
        <w:t>Središnjem d</w:t>
      </w:r>
      <w:r w:rsidR="00FD2865">
        <w:t>ržavnom uredu za obnovu i stambeno zbrinjavanje na dan 31. prosinca 20</w:t>
      </w:r>
      <w:r w:rsidR="005D1D0F">
        <w:t>2</w:t>
      </w:r>
      <w:r>
        <w:t>1</w:t>
      </w:r>
      <w:r w:rsidR="003D0F74">
        <w:t>. godine  zaposlena</w:t>
      </w:r>
      <w:r w:rsidR="00FD2865">
        <w:t xml:space="preserve"> </w:t>
      </w:r>
      <w:r w:rsidR="003D0F74">
        <w:t>su</w:t>
      </w:r>
      <w:r w:rsidR="00296F6E">
        <w:t xml:space="preserve"> </w:t>
      </w:r>
      <w:r w:rsidR="005D1D0F">
        <w:t>1</w:t>
      </w:r>
      <w:r>
        <w:t>48</w:t>
      </w:r>
      <w:r w:rsidR="00000AB7">
        <w:t xml:space="preserve"> </w:t>
      </w:r>
      <w:r w:rsidR="003D0F74">
        <w:t>državna</w:t>
      </w:r>
      <w:r w:rsidR="00FD2865">
        <w:t xml:space="preserve"> službenika i namještenika</w:t>
      </w:r>
      <w:r w:rsidR="00F03148">
        <w:t xml:space="preserve"> i</w:t>
      </w:r>
      <w:r w:rsidR="006045DE">
        <w:t xml:space="preserve"> državni tajnik</w:t>
      </w:r>
      <w:r w:rsidR="00F03148">
        <w:t>.</w:t>
      </w:r>
    </w:p>
    <w:p w:rsidR="00FE212C" w:rsidRDefault="00FE212C" w:rsidP="00DF4009">
      <w:pPr>
        <w:ind w:left="1134" w:right="-284" w:hanging="1134"/>
        <w:jc w:val="both"/>
      </w:pPr>
    </w:p>
    <w:p w:rsidR="00B37E67" w:rsidRDefault="00B37E67" w:rsidP="00DF4009">
      <w:pPr>
        <w:ind w:left="1134" w:right="-284" w:hanging="1134"/>
        <w:jc w:val="both"/>
      </w:pPr>
      <w:r>
        <w:rPr>
          <w:b/>
        </w:rPr>
        <w:t>AOP 160</w:t>
      </w:r>
      <w:r w:rsidR="00FF64DC">
        <w:rPr>
          <w:b/>
        </w:rPr>
        <w:t xml:space="preserve"> </w:t>
      </w:r>
      <w:r w:rsidR="0064316D">
        <w:rPr>
          <w:b/>
        </w:rPr>
        <w:t>-</w:t>
      </w:r>
      <w:r w:rsidR="00FE212C">
        <w:t xml:space="preserve"> </w:t>
      </w:r>
      <w:r w:rsidR="005F40FF">
        <w:t xml:space="preserve"> </w:t>
      </w:r>
      <w:r w:rsidR="00BC5E52">
        <w:t>Rashodi za službena putovanja viši su u</w:t>
      </w:r>
      <w:r w:rsidR="00FF64DC">
        <w:t xml:space="preserve"> o</w:t>
      </w:r>
      <w:r w:rsidR="00BC5E52">
        <w:t>dnosu na 2020. godinu za 36,2% iz razloga što su čelnici i rukovodeći službenici imali povećani broj putovanja vezanih uz posljedice potresa i prisustvanje sastancima stručnog stožera za potres u Petrinji.</w:t>
      </w:r>
    </w:p>
    <w:p w:rsidR="008C61C7" w:rsidRDefault="008C61C7" w:rsidP="00DF4009">
      <w:pPr>
        <w:ind w:left="1134" w:right="-284" w:hanging="1134"/>
        <w:jc w:val="both"/>
      </w:pPr>
    </w:p>
    <w:p w:rsidR="008C61C7" w:rsidRDefault="008C61C7" w:rsidP="00DF4009">
      <w:pPr>
        <w:ind w:left="1134" w:right="-284" w:hanging="1134"/>
        <w:jc w:val="both"/>
      </w:pPr>
      <w:r>
        <w:rPr>
          <w:b/>
        </w:rPr>
        <w:t>AOP 174</w:t>
      </w:r>
      <w:r w:rsidR="00FF64DC">
        <w:rPr>
          <w:b/>
        </w:rPr>
        <w:t xml:space="preserve"> </w:t>
      </w:r>
      <w:r>
        <w:rPr>
          <w:b/>
        </w:rPr>
        <w:t>-</w:t>
      </w:r>
      <w:r>
        <w:t xml:space="preserve">  </w:t>
      </w:r>
      <w:r w:rsidR="002C32C3">
        <w:t>Rashodi za usluge tekućeg i investicijskog održavanja povećan</w:t>
      </w:r>
      <w:r w:rsidR="005F40FF">
        <w:t>i su za 127,</w:t>
      </w:r>
      <w:r w:rsidR="002C32C3">
        <w:t>2 % u odnosu na prethodnu godinu, što se odnosi na obnovu i popravke potrebne</w:t>
      </w:r>
      <w:r w:rsidR="000F2F71">
        <w:t xml:space="preserve"> u stambenim jedinicama u vlasništu RH</w:t>
      </w:r>
      <w:r w:rsidR="002C32C3">
        <w:t xml:space="preserve"> za stambeno zbrinjavanje stradalnika potresa.</w:t>
      </w:r>
    </w:p>
    <w:p w:rsidR="00BC5E52" w:rsidRDefault="00BC5E52" w:rsidP="00DF4009">
      <w:pPr>
        <w:ind w:left="1134" w:right="-284" w:hanging="1134"/>
        <w:jc w:val="both"/>
      </w:pPr>
    </w:p>
    <w:p w:rsidR="00FD7E0E" w:rsidRPr="00FD7E0E" w:rsidRDefault="005F40FF" w:rsidP="00DF4009">
      <w:pPr>
        <w:ind w:left="1134" w:right="-284" w:hanging="1134"/>
        <w:jc w:val="both"/>
      </w:pPr>
      <w:r>
        <w:rPr>
          <w:b/>
        </w:rPr>
        <w:lastRenderedPageBreak/>
        <w:t xml:space="preserve">AOP </w:t>
      </w:r>
      <w:r w:rsidR="00FD7E0E">
        <w:rPr>
          <w:b/>
        </w:rPr>
        <w:t xml:space="preserve">175 - </w:t>
      </w:r>
      <w:r w:rsidR="00FD7E0E">
        <w:t xml:space="preserve">Rashodi za usluge promidžbe i informiranja </w:t>
      </w:r>
      <w:r w:rsidR="00ED106D">
        <w:t xml:space="preserve"> u </w:t>
      </w:r>
      <w:r w:rsidR="00FD7E0E">
        <w:t>iznosu 322.998,00</w:t>
      </w:r>
      <w:r w:rsidR="005C7B73">
        <w:t xml:space="preserve"> kn</w:t>
      </w:r>
      <w:r w:rsidR="00FD7E0E">
        <w:t xml:space="preserve"> u </w:t>
      </w:r>
      <w:r w:rsidR="005C7B73">
        <w:t>o</w:t>
      </w:r>
      <w:r w:rsidR="00FD7E0E">
        <w:t>dnosu na prethodnu godinu kada su iznosili 40.650,00</w:t>
      </w:r>
      <w:r w:rsidR="005C7B73">
        <w:t xml:space="preserve"> kn</w:t>
      </w:r>
      <w:r w:rsidR="00FD7E0E">
        <w:t>. Sredstva su utrošena na snimanje promidžbenih materijala za informiranje javnosti o obnovi nakon potresa.</w:t>
      </w:r>
    </w:p>
    <w:p w:rsidR="00FD7E0E" w:rsidRDefault="00FD7E0E" w:rsidP="00DF4009">
      <w:pPr>
        <w:ind w:left="1134" w:right="-284" w:hanging="1134"/>
        <w:jc w:val="both"/>
        <w:rPr>
          <w:b/>
        </w:rPr>
      </w:pPr>
    </w:p>
    <w:p w:rsidR="00BA04CE" w:rsidRDefault="002C1706" w:rsidP="00DF4009">
      <w:pPr>
        <w:ind w:left="1134" w:right="-284" w:hanging="1134"/>
        <w:jc w:val="both"/>
      </w:pPr>
      <w:r>
        <w:rPr>
          <w:b/>
        </w:rPr>
        <w:t>AOP 17</w:t>
      </w:r>
      <w:r w:rsidR="008F5ED8">
        <w:rPr>
          <w:b/>
        </w:rPr>
        <w:t>7</w:t>
      </w:r>
      <w:r>
        <w:rPr>
          <w:b/>
        </w:rPr>
        <w:t xml:space="preserve"> </w:t>
      </w:r>
      <w:r w:rsidR="00BA04CE">
        <w:rPr>
          <w:b/>
        </w:rPr>
        <w:t>-</w:t>
      </w:r>
      <w:r>
        <w:rPr>
          <w:b/>
        </w:rPr>
        <w:t xml:space="preserve"> </w:t>
      </w:r>
      <w:r>
        <w:t>Rashodi za zakupnine i na</w:t>
      </w:r>
      <w:r w:rsidR="002E1A1D">
        <w:t xml:space="preserve">jamnine </w:t>
      </w:r>
      <w:r w:rsidR="00B07857">
        <w:t>biljež</w:t>
      </w:r>
      <w:r w:rsidR="00460D00">
        <w:t>e</w:t>
      </w:r>
      <w:r w:rsidR="00825FAE">
        <w:t xml:space="preserve"> smanjene</w:t>
      </w:r>
      <w:r w:rsidR="00B07857">
        <w:t xml:space="preserve"> </w:t>
      </w:r>
      <w:r w:rsidR="00460D00">
        <w:t xml:space="preserve"> za 36,30</w:t>
      </w:r>
      <w:r>
        <w:t xml:space="preserve"> % u odnosu na prethodnu godinu</w:t>
      </w:r>
      <w:r w:rsidR="00857AA7">
        <w:t xml:space="preserve">. </w:t>
      </w:r>
      <w:r w:rsidR="001B7741">
        <w:t>Smanjenje</w:t>
      </w:r>
      <w:r w:rsidR="00857AA7">
        <w:t xml:space="preserve"> se najvećim dijelom odnosi na proračunsku poziciju A761073</w:t>
      </w:r>
      <w:r w:rsidR="001B7741">
        <w:t xml:space="preserve"> </w:t>
      </w:r>
      <w:r w:rsidR="00857AA7">
        <w:t>-</w:t>
      </w:r>
      <w:r w:rsidR="001B7741">
        <w:t xml:space="preserve"> </w:t>
      </w:r>
      <w:r w:rsidR="00857AA7">
        <w:t>Stambeno zbrinjavanje osoba s odobrenom međunarodnom zaštitom</w:t>
      </w:r>
      <w:r>
        <w:t xml:space="preserve"> </w:t>
      </w:r>
      <w:r w:rsidR="00857AA7">
        <w:t>budući da je</w:t>
      </w:r>
      <w:r w:rsidR="001B7741">
        <w:t xml:space="preserve"> većem broju korisnika istekao rok u kojem imaju </w:t>
      </w:r>
      <w:r w:rsidR="00857AA7">
        <w:t xml:space="preserve"> </w:t>
      </w:r>
      <w:r w:rsidR="001B7741">
        <w:t>pravo na stambeno zbrinjavanje. Isto tako veći broj korisnika smješten je u stambene jedinice u vlasništvu RH koje su obnovljene i opremljene sredstvoma AMIF-a</w:t>
      </w:r>
      <w:r w:rsidR="007A024D">
        <w:t xml:space="preserve"> te korisnici više nisu smješteni kod privatnih iznajmljivača.</w:t>
      </w:r>
      <w:r w:rsidR="00857AA7">
        <w:t xml:space="preserve"> </w:t>
      </w:r>
    </w:p>
    <w:p w:rsidR="00857AA7" w:rsidRDefault="00857AA7" w:rsidP="00DF4009">
      <w:pPr>
        <w:ind w:left="1134" w:right="-284" w:hanging="1134"/>
        <w:jc w:val="both"/>
      </w:pPr>
    </w:p>
    <w:p w:rsidR="008F5ED8" w:rsidRDefault="00BA04CE" w:rsidP="00DF4009">
      <w:pPr>
        <w:ind w:left="1134" w:right="-284" w:hanging="1134"/>
        <w:jc w:val="both"/>
      </w:pPr>
      <w:r w:rsidRPr="00BA04CE">
        <w:rPr>
          <w:b/>
        </w:rPr>
        <w:t xml:space="preserve">AOP </w:t>
      </w:r>
      <w:r w:rsidR="008F5ED8">
        <w:rPr>
          <w:b/>
        </w:rPr>
        <w:t>179</w:t>
      </w:r>
      <w:r>
        <w:rPr>
          <w:b/>
        </w:rPr>
        <w:t xml:space="preserve"> - </w:t>
      </w:r>
      <w:r w:rsidRPr="00A01085">
        <w:t>Rashodi za</w:t>
      </w:r>
      <w:r w:rsidR="00BD4E86" w:rsidRPr="00A01085">
        <w:t xml:space="preserve"> intelektualne i osobne usluge </w:t>
      </w:r>
      <w:r w:rsidR="008F5ED8">
        <w:t xml:space="preserve">povećani </w:t>
      </w:r>
      <w:r w:rsidR="00BD4E86" w:rsidRPr="00A01085">
        <w:t xml:space="preserve"> su za </w:t>
      </w:r>
      <w:r w:rsidR="008F5ED8">
        <w:t>97,1</w:t>
      </w:r>
      <w:r w:rsidRPr="00A01085">
        <w:t xml:space="preserve"> % u odnosu na prethodnu godinu</w:t>
      </w:r>
      <w:r w:rsidR="00A01085">
        <w:t>.</w:t>
      </w:r>
      <w:r w:rsidRPr="00A01085">
        <w:t xml:space="preserve"> </w:t>
      </w:r>
      <w:r w:rsidR="008F5ED8">
        <w:t>Do povećan</w:t>
      </w:r>
      <w:r w:rsidR="005F40FF">
        <w:t>j</w:t>
      </w:r>
      <w:r w:rsidR="008F5ED8">
        <w:t>a je došlo zbog angažiranja većeg broja osoba koji su angažirani temeljem ugovora o djelu i ugovora sudent servisa zbog povećanog obima posla vezano uz obnovu nakon potresa.</w:t>
      </w:r>
    </w:p>
    <w:p w:rsidR="003E14A6" w:rsidRDefault="003E14A6" w:rsidP="00DF4009">
      <w:pPr>
        <w:ind w:left="1134" w:right="-284" w:hanging="1134"/>
        <w:jc w:val="both"/>
      </w:pPr>
    </w:p>
    <w:p w:rsidR="003E14A6" w:rsidRDefault="003E14A6" w:rsidP="00DF4009">
      <w:pPr>
        <w:ind w:left="1134" w:right="-284" w:hanging="1134"/>
        <w:jc w:val="both"/>
      </w:pPr>
      <w:r>
        <w:rPr>
          <w:b/>
        </w:rPr>
        <w:t>AOP 189 -</w:t>
      </w:r>
      <w:r>
        <w:t xml:space="preserve">  Iznos rashoda na stavci sudskih troškova manji je za 46,8% u odnosu na prethodnu godinu iz razloga jer su tijekom 2020. godine izvršene isplate po tri sudske presude i jedna sudska nagodba zn</w:t>
      </w:r>
      <w:r w:rsidR="005C7B73">
        <w:t>a</w:t>
      </w:r>
      <w:r>
        <w:t xml:space="preserve">čajne vrijednosti u ukupnom iznosu od  </w:t>
      </w:r>
      <w:r w:rsidR="00AF661A">
        <w:t>5.750.000</w:t>
      </w:r>
      <w:r>
        <w:t>,00 kn . Tijekom 2021. godine nije bilo obveza plaćanja u tako značajnim iznosima.</w:t>
      </w:r>
    </w:p>
    <w:p w:rsidR="008F5ED8" w:rsidRDefault="008F5ED8" w:rsidP="00DF4009">
      <w:pPr>
        <w:ind w:left="1134" w:right="-284" w:hanging="1134"/>
        <w:jc w:val="both"/>
      </w:pPr>
    </w:p>
    <w:p w:rsidR="00966179" w:rsidRDefault="00492AB9" w:rsidP="00963B90">
      <w:pPr>
        <w:ind w:left="1134" w:right="-284" w:hanging="1134"/>
        <w:jc w:val="both"/>
      </w:pPr>
      <w:r w:rsidRPr="00966179">
        <w:rPr>
          <w:b/>
        </w:rPr>
        <w:t xml:space="preserve">AOP </w:t>
      </w:r>
      <w:r w:rsidR="006572E0" w:rsidRPr="00966179">
        <w:rPr>
          <w:b/>
        </w:rPr>
        <w:t>2</w:t>
      </w:r>
      <w:r w:rsidR="00963B90">
        <w:rPr>
          <w:b/>
        </w:rPr>
        <w:t>65</w:t>
      </w:r>
      <w:r w:rsidR="006F502E">
        <w:rPr>
          <w:b/>
        </w:rPr>
        <w:t xml:space="preserve"> </w:t>
      </w:r>
      <w:r w:rsidR="002072B0">
        <w:rPr>
          <w:b/>
        </w:rPr>
        <w:t>-</w:t>
      </w:r>
      <w:r w:rsidR="00966179">
        <w:t xml:space="preserve"> </w:t>
      </w:r>
      <w:r w:rsidR="00963B90">
        <w:t xml:space="preserve">Na stavci rashoda 3822 realizirani rashodi su veći za 29,8 % što je </w:t>
      </w:r>
      <w:r w:rsidR="00ED2AC7">
        <w:t xml:space="preserve">vezano </w:t>
      </w:r>
      <w:r w:rsidR="00963B90">
        <w:t>uz program    nekonstrukcijske obnove obiteljskih kuća u privatnom vlasništvu, stradalih u potresu.</w:t>
      </w:r>
    </w:p>
    <w:p w:rsidR="00963B90" w:rsidRPr="00963B90" w:rsidRDefault="00963B90" w:rsidP="00963B90">
      <w:pPr>
        <w:ind w:left="1134" w:right="-284" w:hanging="1134"/>
        <w:jc w:val="both"/>
      </w:pPr>
      <w:r>
        <w:rPr>
          <w:b/>
        </w:rPr>
        <w:t xml:space="preserve">                   </w:t>
      </w:r>
      <w:r>
        <w:t>Korištena su sredstva donacija , izvor financiranja 61 kao i sredstva izvora 11 – opći prihodi i primici.</w:t>
      </w:r>
    </w:p>
    <w:p w:rsidR="006572E0" w:rsidRPr="004879D2" w:rsidRDefault="006572E0" w:rsidP="00A05D33">
      <w:pPr>
        <w:ind w:left="993" w:right="-284" w:hanging="993"/>
        <w:jc w:val="both"/>
      </w:pPr>
    </w:p>
    <w:p w:rsidR="00677458" w:rsidRDefault="00730AA8" w:rsidP="004879D2">
      <w:pPr>
        <w:ind w:left="1134" w:right="-284" w:hanging="1134"/>
        <w:jc w:val="both"/>
      </w:pPr>
      <w:r w:rsidRPr="00F81179">
        <w:rPr>
          <w:b/>
        </w:rPr>
        <w:t xml:space="preserve">AOP </w:t>
      </w:r>
      <w:r w:rsidR="00C96170">
        <w:rPr>
          <w:b/>
        </w:rPr>
        <w:t>3</w:t>
      </w:r>
      <w:r w:rsidR="00426B16">
        <w:rPr>
          <w:b/>
        </w:rPr>
        <w:t>59</w:t>
      </w:r>
      <w:r w:rsidR="00260D34">
        <w:rPr>
          <w:b/>
        </w:rPr>
        <w:t xml:space="preserve"> </w:t>
      </w:r>
      <w:r w:rsidR="00426B16">
        <w:rPr>
          <w:b/>
        </w:rPr>
        <w:t>-</w:t>
      </w:r>
      <w:r w:rsidRPr="004879D2">
        <w:t xml:space="preserve"> Rashodi za stambene objekte u okviru skupine 4211</w:t>
      </w:r>
      <w:r w:rsidR="00E44C5F">
        <w:t xml:space="preserve"> </w:t>
      </w:r>
      <w:r w:rsidR="00ED2AC7">
        <w:t>odnose</w:t>
      </w:r>
      <w:r w:rsidRPr="004879D2">
        <w:t xml:space="preserve"> se na troškove sanacije i izgradnje stambenih jedinica u državnom vlasništvu pr</w:t>
      </w:r>
      <w:r w:rsidR="00E44C5F">
        <w:t>ema Godišnjem planu za 202</w:t>
      </w:r>
      <w:r w:rsidR="00426B16">
        <w:t>1</w:t>
      </w:r>
      <w:r w:rsidRPr="004879D2">
        <w:t>. godinu, kao i za izvanredne okolnosti uključenja u program izgradnje u izvanrednim okolnostima (klizišta, požari i sl). Navedenim sredstvima financirani su radovi obnove/izgradnje stambenih jedinica u državnom vlasništvu</w:t>
      </w:r>
      <w:r w:rsidR="00677458">
        <w:t>.</w:t>
      </w:r>
    </w:p>
    <w:p w:rsidR="00426B16" w:rsidRDefault="00426B16" w:rsidP="004879D2">
      <w:pPr>
        <w:ind w:left="1134" w:right="-284" w:hanging="1134"/>
        <w:jc w:val="both"/>
      </w:pPr>
      <w:r>
        <w:rPr>
          <w:b/>
        </w:rPr>
        <w:t xml:space="preserve">                   </w:t>
      </w:r>
      <w:r>
        <w:t>Iznos rashoda smanjen je u odnosu na 2020. godinu za 20,40 % iz razloga što pokrenuti postupci ugovaranja usluga i radova nisu završeni. Očekuje se povećani intenzitet radova u prvom kvartalu 2022. godine.</w:t>
      </w:r>
      <w:r>
        <w:rPr>
          <w:b/>
        </w:rPr>
        <w:t xml:space="preserve"> </w:t>
      </w:r>
    </w:p>
    <w:p w:rsidR="00677458" w:rsidRPr="00677458" w:rsidRDefault="00677458" w:rsidP="00677458">
      <w:pPr>
        <w:ind w:left="1134" w:right="-284"/>
        <w:jc w:val="both"/>
      </w:pPr>
      <w:r w:rsidRPr="00677458">
        <w:t xml:space="preserve">Konto 4511 </w:t>
      </w:r>
      <w:r>
        <w:t>otvoren</w:t>
      </w:r>
      <w:r w:rsidRPr="00677458">
        <w:t xml:space="preserve"> je radi praćenja troškova dodatnih ulaganja u stambene objekte po preporuci Povjerenstva za popis imovine i obveza, a obuhvatio je aktivnosti koje su se odnosile na popravak krovišta i vanjske stolarije na zgradama u državnom vlasništvu</w:t>
      </w:r>
      <w:r>
        <w:rPr>
          <w:color w:val="1F497D"/>
        </w:rPr>
        <w:t xml:space="preserve">. </w:t>
      </w:r>
      <w:r w:rsidR="00426B16">
        <w:t>Na navedenoj stavci evidentirani rashodi veći su za 178,7% u odnosu na prethodnu godinu.</w:t>
      </w:r>
    </w:p>
    <w:p w:rsidR="00677458" w:rsidRDefault="00677458" w:rsidP="004879D2">
      <w:pPr>
        <w:ind w:left="1134" w:right="-284" w:hanging="1134"/>
        <w:jc w:val="both"/>
      </w:pPr>
    </w:p>
    <w:p w:rsidR="00DB2053" w:rsidRPr="00DB2053" w:rsidRDefault="006A4100" w:rsidP="00DB2053">
      <w:pPr>
        <w:ind w:left="1134" w:right="-284" w:hanging="1134"/>
        <w:jc w:val="both"/>
        <w:rPr>
          <w:sz w:val="22"/>
          <w:szCs w:val="22"/>
          <w:lang w:val="en-US"/>
        </w:rPr>
      </w:pPr>
      <w:r>
        <w:t xml:space="preserve">                  </w:t>
      </w:r>
      <w:r w:rsidR="00730AA8" w:rsidRPr="004879D2">
        <w:t xml:space="preserve"> </w:t>
      </w:r>
      <w:r>
        <w:t>Zbog poteškoća uzrokovanih pandemijom COVID -19 virusa, što je uzrokovalo veći broj odsutnosti djelatnika s posla, kao i kašnjenja dobavljača u dostavi računa, veći broj računa koji je odnosi na 2021. godinu zaprimljen je nakon isteka godine. Navedeno je uzrokovalo povećanje iznosa dospjelih obveza na dan 31.12.2021. godine. Svi računi podmireni su početkom 2022. godine.</w:t>
      </w:r>
    </w:p>
    <w:p w:rsidR="00DE0220" w:rsidRDefault="00DE0220" w:rsidP="00DF4009">
      <w:pPr>
        <w:ind w:left="1134" w:right="-284" w:hanging="1134"/>
        <w:jc w:val="both"/>
      </w:pPr>
    </w:p>
    <w:p w:rsidR="006B3528" w:rsidRDefault="006B3528" w:rsidP="00DF4009">
      <w:pPr>
        <w:ind w:left="1134" w:right="-284" w:hanging="1134"/>
        <w:jc w:val="both"/>
      </w:pPr>
    </w:p>
    <w:p w:rsidR="00DE0220" w:rsidRDefault="00DE0220" w:rsidP="00DF4009">
      <w:pPr>
        <w:ind w:left="1134" w:right="-284" w:hanging="1134"/>
        <w:jc w:val="both"/>
      </w:pPr>
    </w:p>
    <w:p w:rsidR="00A443DB" w:rsidRDefault="00A443DB" w:rsidP="00DF4009">
      <w:pPr>
        <w:ind w:right="-284"/>
        <w:jc w:val="both"/>
      </w:pPr>
      <w:r>
        <w:lastRenderedPageBreak/>
        <w:t xml:space="preserve">Ukupno ostvareni prihodi i primici u </w:t>
      </w:r>
      <w:r w:rsidR="0024572F">
        <w:t xml:space="preserve">razdoblju siječanj – </w:t>
      </w:r>
      <w:r w:rsidR="00605E79">
        <w:t>prosinac</w:t>
      </w:r>
      <w:r w:rsidR="0024572F">
        <w:t xml:space="preserve"> </w:t>
      </w:r>
      <w:r w:rsidR="00DB2053">
        <w:t>202</w:t>
      </w:r>
      <w:r w:rsidR="00D1698C">
        <w:t>1</w:t>
      </w:r>
      <w:r w:rsidR="0024572F">
        <w:t xml:space="preserve">. godine iznose </w:t>
      </w:r>
      <w:r w:rsidR="00DB2053" w:rsidRPr="00DB2053">
        <w:rPr>
          <w:b/>
        </w:rPr>
        <w:t>2</w:t>
      </w:r>
      <w:r w:rsidR="00D1698C">
        <w:rPr>
          <w:b/>
        </w:rPr>
        <w:t>32.129.702,77</w:t>
      </w:r>
      <w:r w:rsidR="000C616D">
        <w:t xml:space="preserve"> kn</w:t>
      </w:r>
      <w:r w:rsidR="0000748A">
        <w:t xml:space="preserve"> </w:t>
      </w:r>
      <w:r w:rsidR="00D1698C">
        <w:t>(AOP 632</w:t>
      </w:r>
      <w:r w:rsidR="0024572F">
        <w:t>)</w:t>
      </w:r>
      <w:r>
        <w:t xml:space="preserve">, a ukupni rashodi i izdaci iznose </w:t>
      </w:r>
      <w:r w:rsidR="00880AC8">
        <w:rPr>
          <w:b/>
        </w:rPr>
        <w:t>217.578.411,79</w:t>
      </w:r>
      <w:r w:rsidR="00CB3127">
        <w:rPr>
          <w:b/>
        </w:rPr>
        <w:t xml:space="preserve"> </w:t>
      </w:r>
      <w:r w:rsidR="00CB3127">
        <w:t>kn</w:t>
      </w:r>
      <w:r w:rsidR="0000748A">
        <w:t xml:space="preserve"> </w:t>
      </w:r>
      <w:r w:rsidR="0024572F">
        <w:t>(</w:t>
      </w:r>
      <w:r w:rsidR="00E60FBA">
        <w:t>AOP 63</w:t>
      </w:r>
      <w:r w:rsidR="00880AC8">
        <w:t>3</w:t>
      </w:r>
      <w:r w:rsidR="0024572F">
        <w:t>)</w:t>
      </w:r>
      <w:r>
        <w:t xml:space="preserve">. Ostvareni </w:t>
      </w:r>
      <w:r w:rsidR="00DB2053">
        <w:t>višak</w:t>
      </w:r>
      <w:r w:rsidR="00A72C30">
        <w:t xml:space="preserve"> prihoda i primitaka</w:t>
      </w:r>
      <w:r>
        <w:t xml:space="preserve"> u </w:t>
      </w:r>
      <w:r w:rsidR="00A72C30">
        <w:t xml:space="preserve">razdoblju siječanj – </w:t>
      </w:r>
      <w:r w:rsidR="001D5254">
        <w:t>prosinac</w:t>
      </w:r>
      <w:r w:rsidR="00A72C30">
        <w:t xml:space="preserve"> </w:t>
      </w:r>
      <w:r>
        <w:t>2</w:t>
      </w:r>
      <w:r w:rsidR="00DB2053">
        <w:t>02</w:t>
      </w:r>
      <w:r w:rsidR="00F164D2">
        <w:t>1</w:t>
      </w:r>
      <w:r>
        <w:t xml:space="preserve">. </w:t>
      </w:r>
      <w:r w:rsidR="007651F9">
        <w:t>god.</w:t>
      </w:r>
      <w:r>
        <w:t xml:space="preserve"> iznosi</w:t>
      </w:r>
      <w:r w:rsidR="0049215D">
        <w:t xml:space="preserve"> </w:t>
      </w:r>
      <w:r w:rsidR="00F164D2">
        <w:rPr>
          <w:b/>
        </w:rPr>
        <w:t>14.551.290,98</w:t>
      </w:r>
      <w:r w:rsidR="00545DE1">
        <w:t xml:space="preserve"> </w:t>
      </w:r>
      <w:r w:rsidR="00B17411">
        <w:t xml:space="preserve">kn </w:t>
      </w:r>
      <w:r w:rsidR="00A72C30">
        <w:t>(AOP 6</w:t>
      </w:r>
      <w:r w:rsidR="00E60FBA">
        <w:t>3</w:t>
      </w:r>
      <w:r w:rsidR="00F164D2">
        <w:t>4</w:t>
      </w:r>
      <w:r w:rsidR="00A72C30">
        <w:t>)</w:t>
      </w:r>
      <w:r>
        <w:t xml:space="preserve">. Preneseni </w:t>
      </w:r>
      <w:r w:rsidR="00E60FBA">
        <w:t>višak</w:t>
      </w:r>
      <w:r>
        <w:t xml:space="preserve"> prihoda </w:t>
      </w:r>
      <w:r w:rsidR="0024572F">
        <w:t>31.12.</w:t>
      </w:r>
      <w:r>
        <w:t>20</w:t>
      </w:r>
      <w:r w:rsidR="00477875">
        <w:t>20</w:t>
      </w:r>
      <w:r>
        <w:t xml:space="preserve">. godine iznosi </w:t>
      </w:r>
      <w:r w:rsidR="00477875">
        <w:rPr>
          <w:b/>
        </w:rPr>
        <w:t>3.944.296,72</w:t>
      </w:r>
      <w:r w:rsidR="00C21FA3">
        <w:t xml:space="preserve"> kn</w:t>
      </w:r>
      <w:r w:rsidR="00E60FBA" w:rsidRPr="00FB3CA8">
        <w:rPr>
          <w:b/>
        </w:rPr>
        <w:t xml:space="preserve"> </w:t>
      </w:r>
      <w:r w:rsidR="0024572F">
        <w:t>(</w:t>
      </w:r>
      <w:r>
        <w:t>AOP 6</w:t>
      </w:r>
      <w:r w:rsidR="00E60FBA">
        <w:t>3</w:t>
      </w:r>
      <w:r w:rsidR="00477875">
        <w:t>6</w:t>
      </w:r>
      <w:r w:rsidR="0024572F">
        <w:t>)</w:t>
      </w:r>
      <w:r w:rsidR="00A72C30">
        <w:t xml:space="preserve">. </w:t>
      </w:r>
      <w:r w:rsidR="00FB75EB">
        <w:t>V</w:t>
      </w:r>
      <w:r w:rsidR="0024572F">
        <w:t>išak prihoda raspoloživ u sljedećem razdoblju</w:t>
      </w:r>
      <w:r w:rsidR="004C4C73">
        <w:t xml:space="preserve">  iznosi </w:t>
      </w:r>
      <w:r>
        <w:t xml:space="preserve"> </w:t>
      </w:r>
      <w:r w:rsidR="00477875">
        <w:rPr>
          <w:b/>
        </w:rPr>
        <w:t>18.495.587,70</w:t>
      </w:r>
      <w:r w:rsidRPr="00FB3CA8">
        <w:rPr>
          <w:b/>
        </w:rPr>
        <w:t xml:space="preserve"> kn</w:t>
      </w:r>
      <w:r>
        <w:t xml:space="preserve"> </w:t>
      </w:r>
      <w:r w:rsidR="00A72C30">
        <w:t>(</w:t>
      </w:r>
      <w:r>
        <w:t>AOP 6</w:t>
      </w:r>
      <w:r w:rsidR="00E60FBA">
        <w:t>3</w:t>
      </w:r>
      <w:r w:rsidR="00477875">
        <w:t>8</w:t>
      </w:r>
      <w:r w:rsidR="00A72C30">
        <w:t>).</w:t>
      </w:r>
    </w:p>
    <w:p w:rsidR="00DF6EFD" w:rsidRDefault="00DF6EFD" w:rsidP="002B39DC">
      <w:pPr>
        <w:jc w:val="both"/>
      </w:pPr>
    </w:p>
    <w:p w:rsidR="006E653B" w:rsidRDefault="006E653B" w:rsidP="002B39DC">
      <w:pPr>
        <w:jc w:val="both"/>
      </w:pPr>
    </w:p>
    <w:p w:rsidR="00FD2865" w:rsidRDefault="00FD2865" w:rsidP="00FD2865">
      <w:pPr>
        <w:pBdr>
          <w:top w:val="single" w:sz="4" w:space="1" w:color="auto"/>
          <w:left w:val="single" w:sz="4" w:space="4" w:color="auto"/>
          <w:bottom w:val="single" w:sz="4" w:space="1" w:color="auto"/>
          <w:right w:val="single" w:sz="4" w:space="4" w:color="auto"/>
        </w:pBdr>
        <w:jc w:val="both"/>
        <w:rPr>
          <w:b/>
        </w:rPr>
      </w:pPr>
      <w:r>
        <w:rPr>
          <w:b/>
        </w:rPr>
        <w:t>BILANCA</w:t>
      </w:r>
    </w:p>
    <w:p w:rsidR="00B80D29" w:rsidRDefault="00B80D29" w:rsidP="00FD2865">
      <w:pPr>
        <w:jc w:val="both"/>
        <w:rPr>
          <w:b/>
        </w:rPr>
      </w:pPr>
    </w:p>
    <w:p w:rsidR="00B80D29" w:rsidRDefault="00B80D29" w:rsidP="00FD2865">
      <w:pPr>
        <w:jc w:val="both"/>
        <w:rPr>
          <w:b/>
        </w:rPr>
      </w:pPr>
    </w:p>
    <w:p w:rsidR="00FD2865" w:rsidRDefault="00FD2865" w:rsidP="00DF4009">
      <w:pPr>
        <w:ind w:right="-284"/>
        <w:jc w:val="both"/>
        <w:rPr>
          <w:b/>
        </w:rPr>
      </w:pPr>
      <w:r>
        <w:rPr>
          <w:b/>
        </w:rPr>
        <w:t xml:space="preserve"> AOP  002 </w:t>
      </w:r>
      <w:r w:rsidR="000C616D">
        <w:rPr>
          <w:b/>
        </w:rPr>
        <w:t>-</w:t>
      </w:r>
      <w:r>
        <w:rPr>
          <w:b/>
        </w:rPr>
        <w:t xml:space="preserve">Nefinancijska imovina                      </w:t>
      </w:r>
    </w:p>
    <w:p w:rsidR="00FD2865" w:rsidRDefault="00FD2865" w:rsidP="00DF4009">
      <w:pPr>
        <w:ind w:right="-284"/>
        <w:jc w:val="both"/>
        <w:rPr>
          <w:b/>
        </w:rPr>
      </w:pPr>
    </w:p>
    <w:p w:rsidR="004C47EC" w:rsidRPr="00250061" w:rsidRDefault="00FD2865" w:rsidP="00DF4009">
      <w:pPr>
        <w:ind w:right="-284"/>
        <w:jc w:val="both"/>
      </w:pPr>
      <w:r w:rsidRPr="00250061">
        <w:t xml:space="preserve">U okviru AOP 002 iskazana je nefinancijska imovina ukupne vrijednosti  od </w:t>
      </w:r>
      <w:r w:rsidR="00A07404">
        <w:t>2.714.452.857,09</w:t>
      </w:r>
      <w:bookmarkStart w:id="0" w:name="_GoBack"/>
      <w:bookmarkEnd w:id="0"/>
      <w:r w:rsidRPr="00087F74">
        <w:rPr>
          <w:color w:val="FF0000"/>
        </w:rPr>
        <w:t xml:space="preserve"> </w:t>
      </w:r>
      <w:r w:rsidRPr="00250061">
        <w:t xml:space="preserve">kn, </w:t>
      </w:r>
      <w:r w:rsidR="00971EAE" w:rsidRPr="00250061">
        <w:t xml:space="preserve">a u najvećem dijelu se odnosi </w:t>
      </w:r>
      <w:r w:rsidRPr="00250061">
        <w:t xml:space="preserve"> na proizvedenu dugotrajnu imovinu koja se sastoji od izgrađenih kuća, kuća kupljenih iz proračunskih sredstava, stanova u stambenim zgradama preuzetih na upravljanje temeljem Zakona o vlasništvu i drugim stvarnim pravima i Zakona o </w:t>
      </w:r>
      <w:r w:rsidR="00297955" w:rsidRPr="00250061">
        <w:t>stambenom zbrinjavanju na potpomognutim područjima</w:t>
      </w:r>
      <w:r w:rsidRPr="00250061">
        <w:t>, stanova kupljenih iz proračunskih sredstava, izgrađenih stambenih zgrada čija izgradnja je financ</w:t>
      </w:r>
      <w:r w:rsidR="003F482F" w:rsidRPr="00250061">
        <w:t>irana iz proračunskih sredstava kao i stambenih jedinica kupljenih putem Regionalnog programa stambenog zbrinjavanja</w:t>
      </w:r>
      <w:r w:rsidR="005250B6" w:rsidRPr="00250061">
        <w:t>.</w:t>
      </w:r>
    </w:p>
    <w:p w:rsidR="00FD2865" w:rsidRPr="00250061" w:rsidRDefault="00FD2865" w:rsidP="00DF4009">
      <w:pPr>
        <w:ind w:right="-284"/>
        <w:jc w:val="both"/>
      </w:pPr>
    </w:p>
    <w:p w:rsidR="00FD2865" w:rsidRPr="00250061" w:rsidRDefault="0026534F" w:rsidP="00DF4009">
      <w:pPr>
        <w:ind w:right="-284"/>
        <w:jc w:val="both"/>
      </w:pPr>
      <w:r w:rsidRPr="00250061">
        <w:rPr>
          <w:b/>
        </w:rPr>
        <w:t>AOP 051-</w:t>
      </w:r>
      <w:r w:rsidR="009D485C" w:rsidRPr="00250061">
        <w:rPr>
          <w:b/>
        </w:rPr>
        <w:t xml:space="preserve"> </w:t>
      </w:r>
      <w:r w:rsidR="00FD2865" w:rsidRPr="00250061">
        <w:rPr>
          <w:b/>
        </w:rPr>
        <w:t>Dugotrajna nefinancijska</w:t>
      </w:r>
      <w:r w:rsidR="00FD2865" w:rsidRPr="00250061">
        <w:t xml:space="preserve"> </w:t>
      </w:r>
      <w:r w:rsidR="00FD2865" w:rsidRPr="00250061">
        <w:rPr>
          <w:b/>
        </w:rPr>
        <w:t>imovina u pripremi</w:t>
      </w:r>
      <w:r w:rsidR="00FD2865" w:rsidRPr="00250061">
        <w:t xml:space="preserve"> </w:t>
      </w:r>
      <w:r w:rsidR="007101C3" w:rsidRPr="00250061">
        <w:t xml:space="preserve">u ukupnom iznosu </w:t>
      </w:r>
      <w:r w:rsidR="00053190">
        <w:t>425.609.445,56</w:t>
      </w:r>
      <w:r w:rsidRPr="00087F74">
        <w:rPr>
          <w:color w:val="FF0000"/>
        </w:rPr>
        <w:t xml:space="preserve"> </w:t>
      </w:r>
      <w:r w:rsidRPr="00250061">
        <w:t xml:space="preserve">kn </w:t>
      </w:r>
      <w:r w:rsidR="00FD2865" w:rsidRPr="00250061">
        <w:t xml:space="preserve">odnosi se  na evidenciju stambenih jedinica koje koriste korisnici stambenog zbrinjavanja, ali je za iste još uvijek uknjižba u vlasništvo RH u tijeku. </w:t>
      </w:r>
    </w:p>
    <w:p w:rsidR="00AF6D43" w:rsidRPr="00250061" w:rsidRDefault="00FD2865" w:rsidP="00DF4009">
      <w:pPr>
        <w:ind w:right="-284"/>
        <w:jc w:val="both"/>
      </w:pPr>
      <w:r w:rsidRPr="00250061">
        <w:t xml:space="preserve">Druga skupina nefinancijske imovine u pripremi odnosi se na investicije u tijeku koje se izvode na nekoliko gradilišta. U izgradnji su zgrade sa stambenim jedinicama namijenjenim za stambeno zbrinjavanje povratnika u RH, bivših nositelja stanarskog prava. </w:t>
      </w:r>
    </w:p>
    <w:p w:rsidR="00FD2865" w:rsidRPr="00250061" w:rsidRDefault="00FD2865" w:rsidP="00DF4009">
      <w:pPr>
        <w:ind w:right="-284"/>
        <w:jc w:val="both"/>
      </w:pPr>
      <w:r w:rsidRPr="00250061">
        <w:t>Treća skupina se odnosi na građevinska zemljišta u pripre</w:t>
      </w:r>
      <w:r w:rsidR="004C3B19" w:rsidRPr="00250061">
        <w:t xml:space="preserve">mi i oštećene i neuseljive kuće koje se daruju korisnicima </w:t>
      </w:r>
      <w:r w:rsidR="007E3FB8" w:rsidRPr="00250061">
        <w:t>kojima se ujedno daruje i građevinski materijal.</w:t>
      </w:r>
    </w:p>
    <w:p w:rsidR="00AF6D43" w:rsidRPr="00D6076F" w:rsidRDefault="00AF6D43" w:rsidP="00DF4009">
      <w:pPr>
        <w:ind w:right="-284"/>
        <w:jc w:val="both"/>
        <w:rPr>
          <w:color w:val="FF0000"/>
        </w:rPr>
      </w:pPr>
    </w:p>
    <w:p w:rsidR="00FD2865" w:rsidRPr="00250061" w:rsidRDefault="00FD2865" w:rsidP="00DF4009">
      <w:pPr>
        <w:ind w:right="-284"/>
        <w:jc w:val="both"/>
      </w:pPr>
      <w:r w:rsidRPr="00250061">
        <w:t xml:space="preserve">Gospodarenje i upravljanje stambenim jedinicama je u nadležnosti </w:t>
      </w:r>
      <w:r w:rsidR="005046E2" w:rsidRPr="00250061">
        <w:t>S</w:t>
      </w:r>
      <w:r w:rsidRPr="00250061">
        <w:t xml:space="preserve">DUOSZ. Stambene jedinice se daju u najam korisnicima koji ostvaruju pravo na stambeno zbrinjavane </w:t>
      </w:r>
      <w:r w:rsidR="008B4B82" w:rsidRPr="00250061">
        <w:t>i darovanje temeljem važećih</w:t>
      </w:r>
      <w:r w:rsidRPr="00250061">
        <w:t xml:space="preserve"> Zakona i Uredbi, odnosno za iste se provode postupci otkupa po povlaštenim uvjetima od strane korisnika za koje se utvrdi pravo na otkup. </w:t>
      </w:r>
    </w:p>
    <w:p w:rsidR="00FD2865" w:rsidRPr="00250061" w:rsidRDefault="00FD2865" w:rsidP="00DF4009">
      <w:pPr>
        <w:ind w:left="5672" w:right="-284"/>
        <w:jc w:val="both"/>
      </w:pPr>
    </w:p>
    <w:p w:rsidR="006E653B" w:rsidRDefault="006E653B" w:rsidP="00FD2865">
      <w:pPr>
        <w:jc w:val="both"/>
        <w:rPr>
          <w:b/>
        </w:rPr>
      </w:pPr>
    </w:p>
    <w:p w:rsidR="00FD2865" w:rsidRDefault="009541A2" w:rsidP="00DF4009">
      <w:pPr>
        <w:ind w:right="-284"/>
        <w:jc w:val="both"/>
        <w:rPr>
          <w:b/>
        </w:rPr>
      </w:pPr>
      <w:r>
        <w:rPr>
          <w:b/>
        </w:rPr>
        <w:t xml:space="preserve"> AOP  063</w:t>
      </w:r>
      <w:r w:rsidR="00FD2865">
        <w:rPr>
          <w:b/>
        </w:rPr>
        <w:t xml:space="preserve"> Financijska imovina                                    </w:t>
      </w:r>
    </w:p>
    <w:p w:rsidR="00FD2865" w:rsidRDefault="00FD2865" w:rsidP="00DF4009">
      <w:pPr>
        <w:ind w:right="-284"/>
        <w:jc w:val="both"/>
        <w:rPr>
          <w:b/>
        </w:rPr>
      </w:pPr>
    </w:p>
    <w:p w:rsidR="00FD2865" w:rsidRDefault="00FD2865" w:rsidP="00DF4009">
      <w:pPr>
        <w:ind w:right="-284"/>
        <w:jc w:val="both"/>
      </w:pPr>
      <w:r w:rsidRPr="009C4542">
        <w:t xml:space="preserve">U </w:t>
      </w:r>
      <w:r>
        <w:t>okviru AOP 06</w:t>
      </w:r>
      <w:r w:rsidR="009541A2">
        <w:t>3</w:t>
      </w:r>
      <w:r>
        <w:t xml:space="preserve"> Financijska imovina, evidentirana je financijska imovina u ukupnom iznosu od  </w:t>
      </w:r>
      <w:r w:rsidR="00B56017">
        <w:t>127.513.761,38</w:t>
      </w:r>
      <w:r w:rsidR="009541A2">
        <w:t xml:space="preserve"> </w:t>
      </w:r>
      <w:r w:rsidR="004C47EC">
        <w:t>kn, a</w:t>
      </w:r>
      <w:r>
        <w:t xml:space="preserve"> odnosi se na:</w:t>
      </w:r>
    </w:p>
    <w:p w:rsidR="00347236" w:rsidRDefault="00347236" w:rsidP="00DF4009">
      <w:pPr>
        <w:ind w:right="-284"/>
        <w:jc w:val="both"/>
      </w:pPr>
    </w:p>
    <w:p w:rsidR="00FD2865" w:rsidRPr="00E116BB" w:rsidRDefault="00FD2865" w:rsidP="00497F10">
      <w:pPr>
        <w:pStyle w:val="ListParagraph"/>
        <w:numPr>
          <w:ilvl w:val="0"/>
          <w:numId w:val="5"/>
        </w:numPr>
        <w:spacing w:line="259" w:lineRule="auto"/>
        <w:ind w:right="-284"/>
        <w:jc w:val="both"/>
      </w:pPr>
      <w:r w:rsidRPr="00E116BB">
        <w:t>dane avanse izvođa</w:t>
      </w:r>
      <w:r>
        <w:t>č</w:t>
      </w:r>
      <w:r w:rsidRPr="00E116BB">
        <w:t>ima građevinskih radova na stambenim zgradama evidentiranim na skupinama konta investicije u tijeku</w:t>
      </w:r>
      <w:r w:rsidR="00B56017">
        <w:t xml:space="preserve"> i ostalim dobavljačima, uglavnom za priključke električne energije </w:t>
      </w:r>
      <w:r w:rsidRPr="00E116BB">
        <w:t xml:space="preserve"> u ukupnom iznosu od </w:t>
      </w:r>
      <w:r w:rsidR="00B56017">
        <w:t>312.869,27</w:t>
      </w:r>
      <w:r w:rsidR="00D965A9">
        <w:t xml:space="preserve"> kn</w:t>
      </w:r>
      <w:r w:rsidR="006738CE">
        <w:t xml:space="preserve"> </w:t>
      </w:r>
    </w:p>
    <w:p w:rsidR="00843BD5" w:rsidRDefault="009541A2" w:rsidP="00DF4009">
      <w:pPr>
        <w:pStyle w:val="ListParagraph"/>
        <w:numPr>
          <w:ilvl w:val="0"/>
          <w:numId w:val="5"/>
        </w:numPr>
        <w:spacing w:line="259" w:lineRule="auto"/>
        <w:ind w:right="-284"/>
        <w:jc w:val="both"/>
      </w:pPr>
      <w:r>
        <w:t>n</w:t>
      </w:r>
      <w:r w:rsidR="00FD2865">
        <w:t xml:space="preserve">a potraživanja za nenaplaćene najmove od korisnika stambenog zbrinjavanja u ukupnom iznosu od </w:t>
      </w:r>
      <w:r w:rsidR="003F1ECB">
        <w:t>14.4</w:t>
      </w:r>
      <w:r w:rsidR="006830C0">
        <w:t>92.566,49</w:t>
      </w:r>
      <w:r w:rsidR="00B80D29">
        <w:t xml:space="preserve"> kn</w:t>
      </w:r>
    </w:p>
    <w:p w:rsidR="00D965A9" w:rsidRDefault="009541A2" w:rsidP="00DF4009">
      <w:pPr>
        <w:pStyle w:val="ListParagraph"/>
        <w:numPr>
          <w:ilvl w:val="0"/>
          <w:numId w:val="5"/>
        </w:numPr>
        <w:spacing w:line="259" w:lineRule="auto"/>
        <w:ind w:right="-284"/>
        <w:jc w:val="both"/>
      </w:pPr>
      <w:r>
        <w:t>kontinuirane r</w:t>
      </w:r>
      <w:r w:rsidR="00FD2865">
        <w:t>ashod</w:t>
      </w:r>
      <w:r>
        <w:t>e</w:t>
      </w:r>
      <w:r w:rsidR="00FD2865">
        <w:t xml:space="preserve"> budućeg razdoblja koji se odnose na sredstva za isplatu plaće</w:t>
      </w:r>
      <w:r w:rsidR="00747E96">
        <w:t xml:space="preserve"> </w:t>
      </w:r>
      <w:r w:rsidR="00140064">
        <w:t xml:space="preserve">i </w:t>
      </w:r>
      <w:r w:rsidR="00747E96">
        <w:t>prijevoza djelatnika</w:t>
      </w:r>
      <w:r w:rsidR="00FD2865">
        <w:t xml:space="preserve"> za prosinac 20</w:t>
      </w:r>
      <w:r w:rsidR="00747E96">
        <w:t>2</w:t>
      </w:r>
      <w:r w:rsidR="00B56017">
        <w:t>1</w:t>
      </w:r>
      <w:r w:rsidR="00FD2865">
        <w:t>.</w:t>
      </w:r>
      <w:r w:rsidR="00D965A9">
        <w:t xml:space="preserve"> </w:t>
      </w:r>
      <w:r w:rsidR="00FD2865">
        <w:t>godine</w:t>
      </w:r>
      <w:r>
        <w:t xml:space="preserve"> </w:t>
      </w:r>
      <w:r w:rsidR="00FD2865">
        <w:t xml:space="preserve">u iznosu od </w:t>
      </w:r>
      <w:r w:rsidR="004C27FE" w:rsidRPr="00154926">
        <w:t>1.</w:t>
      </w:r>
      <w:r w:rsidR="00747E96" w:rsidRPr="00154926">
        <w:t>6</w:t>
      </w:r>
      <w:r w:rsidR="006830C0" w:rsidRPr="00154926">
        <w:t>90.060,55</w:t>
      </w:r>
      <w:r w:rsidR="009837C0" w:rsidRPr="00154926">
        <w:t xml:space="preserve"> </w:t>
      </w:r>
      <w:r w:rsidR="00B80D29" w:rsidRPr="00154926">
        <w:t>kn</w:t>
      </w:r>
    </w:p>
    <w:p w:rsidR="00D965A9" w:rsidRDefault="00155FB2" w:rsidP="00DF4009">
      <w:pPr>
        <w:pStyle w:val="ListParagraph"/>
        <w:numPr>
          <w:ilvl w:val="0"/>
          <w:numId w:val="5"/>
        </w:numPr>
        <w:spacing w:line="259" w:lineRule="auto"/>
        <w:ind w:right="-284"/>
        <w:jc w:val="both"/>
      </w:pPr>
      <w:r>
        <w:t>t</w:t>
      </w:r>
      <w:r w:rsidR="00D965A9" w:rsidRPr="00D965A9">
        <w:t>emeljem Okvirnog sporazuma između RH i Razvojne banke Vijeća Europe u vezi s Regionalnim programom stambenog zbrinjavanja isplaćen</w:t>
      </w:r>
      <w:r w:rsidR="000522C7">
        <w:t>e su</w:t>
      </w:r>
      <w:r w:rsidR="00D965A9" w:rsidRPr="00D965A9">
        <w:t xml:space="preserve"> tranš</w:t>
      </w:r>
      <w:r w:rsidR="000522C7">
        <w:t>e</w:t>
      </w:r>
      <w:r w:rsidR="00D965A9" w:rsidRPr="00D965A9">
        <w:t xml:space="preserve"> donacija na </w:t>
      </w:r>
      <w:r w:rsidR="00D965A9" w:rsidRPr="00D965A9">
        <w:lastRenderedPageBreak/>
        <w:t>namjenski račun u Hrvatskoj narodnoj banci koje se povlače na račun Državnog proračuna. Sredstva</w:t>
      </w:r>
      <w:r w:rsidR="00D965A9">
        <w:t xml:space="preserve"> u iznosu od</w:t>
      </w:r>
      <w:r w:rsidR="0082423C">
        <w:t xml:space="preserve"> </w:t>
      </w:r>
      <w:r w:rsidR="005379E7">
        <w:t>4.761.040,10</w:t>
      </w:r>
      <w:r w:rsidR="00D965A9">
        <w:t xml:space="preserve">  kn koja su ostala</w:t>
      </w:r>
      <w:r w:rsidR="007C2BEA">
        <w:t xml:space="preserve"> neiskorištena do 31.12.202</w:t>
      </w:r>
      <w:r w:rsidR="00222D73">
        <w:t>1</w:t>
      </w:r>
      <w:r w:rsidR="00D965A9" w:rsidRPr="00D965A9">
        <w:t xml:space="preserve">. temeljem zakonskih propisa, </w:t>
      </w:r>
      <w:r w:rsidR="00D965A9">
        <w:t>prenose se</w:t>
      </w:r>
      <w:r w:rsidR="00D965A9" w:rsidRPr="00D965A9">
        <w:t xml:space="preserve"> </w:t>
      </w:r>
      <w:r w:rsidR="007C2BEA">
        <w:t>u 202</w:t>
      </w:r>
      <w:r w:rsidR="00222D73">
        <w:t>2</w:t>
      </w:r>
      <w:r w:rsidR="00B80D29">
        <w:t>. godinu</w:t>
      </w:r>
      <w:r w:rsidR="00316387">
        <w:t xml:space="preserve">. </w:t>
      </w:r>
    </w:p>
    <w:p w:rsidR="009541A2" w:rsidRDefault="00637B4F" w:rsidP="00DF4009">
      <w:pPr>
        <w:pStyle w:val="ListParagraph"/>
        <w:numPr>
          <w:ilvl w:val="0"/>
          <w:numId w:val="5"/>
        </w:numPr>
        <w:spacing w:line="259" w:lineRule="auto"/>
        <w:ind w:right="-284"/>
        <w:jc w:val="both"/>
      </w:pPr>
      <w:r>
        <w:t>i</w:t>
      </w:r>
      <w:r w:rsidR="00155FB2">
        <w:t xml:space="preserve">znos od </w:t>
      </w:r>
      <w:r w:rsidR="00F02F4C">
        <w:t>26.</w:t>
      </w:r>
      <w:r w:rsidR="00D94558">
        <w:t>867.377,83</w:t>
      </w:r>
      <w:r w:rsidR="00DA5F23">
        <w:t xml:space="preserve"> kn</w:t>
      </w:r>
      <w:r>
        <w:t xml:space="preserve"> odnosi se</w:t>
      </w:r>
      <w:r w:rsidR="009541A2">
        <w:t xml:space="preserve"> vrijednost preostalih potraživanja od obročne prodaje stambenih jedinica</w:t>
      </w:r>
      <w:r>
        <w:t xml:space="preserve"> izvan područja posebne državne skrbi</w:t>
      </w:r>
      <w:r w:rsidR="00D94558">
        <w:t xml:space="preserve"> i na potpomognutim područjima na dan 31.12.2021</w:t>
      </w:r>
      <w:r w:rsidR="00ED50CD">
        <w:t>.</w:t>
      </w:r>
      <w:r w:rsidR="009541A2">
        <w:t xml:space="preserve"> </w:t>
      </w:r>
    </w:p>
    <w:p w:rsidR="00316387" w:rsidRDefault="00D94558" w:rsidP="00DF4009">
      <w:pPr>
        <w:pStyle w:val="ListParagraph"/>
        <w:numPr>
          <w:ilvl w:val="0"/>
          <w:numId w:val="5"/>
        </w:numPr>
        <w:spacing w:line="259" w:lineRule="auto"/>
        <w:ind w:right="-284"/>
        <w:jc w:val="both"/>
      </w:pPr>
      <w:r>
        <w:t xml:space="preserve">temeljem Odluke o raspodjeli donacija financijskih sredstava uplaćenih na </w:t>
      </w:r>
      <w:r w:rsidR="00316387">
        <w:t>r</w:t>
      </w:r>
      <w:r>
        <w:t>ačun državnog proračuna</w:t>
      </w:r>
      <w:r w:rsidR="00316387">
        <w:t xml:space="preserve"> u akciji „Pomoć za obnovu nakon potresa“ Vlade RH sredstva su raspoređena na pozicije SDUOSZ s namjenom sanacije šteta na obiteljskim kućama stradalih u potresu.</w:t>
      </w:r>
    </w:p>
    <w:p w:rsidR="00A8067D" w:rsidRDefault="00316387" w:rsidP="00316387">
      <w:pPr>
        <w:spacing w:line="259" w:lineRule="auto"/>
        <w:ind w:left="720" w:right="-284"/>
        <w:jc w:val="both"/>
      </w:pPr>
      <w:r>
        <w:t xml:space="preserve">Neiskorištena sredstva donacija neiskorištena na dan 31.12.2021. iznose </w:t>
      </w:r>
      <w:r w:rsidR="00A8067D">
        <w:t>74.502.512,37 kn,</w:t>
      </w:r>
    </w:p>
    <w:p w:rsidR="00D94558" w:rsidRDefault="00A8067D" w:rsidP="00316387">
      <w:pPr>
        <w:spacing w:line="259" w:lineRule="auto"/>
        <w:ind w:left="720" w:right="-284"/>
        <w:jc w:val="both"/>
      </w:pPr>
      <w:r>
        <w:t>prenose se u 2022. godinu.</w:t>
      </w:r>
    </w:p>
    <w:p w:rsidR="00FD2865" w:rsidRDefault="00C63E3E" w:rsidP="00D94558">
      <w:pPr>
        <w:pStyle w:val="ListParagraph"/>
        <w:numPr>
          <w:ilvl w:val="0"/>
          <w:numId w:val="8"/>
        </w:numPr>
        <w:spacing w:line="259" w:lineRule="auto"/>
        <w:ind w:right="-284"/>
        <w:jc w:val="both"/>
      </w:pPr>
      <w:r>
        <w:t>r</w:t>
      </w:r>
      <w:r w:rsidR="00BB2298">
        <w:t xml:space="preserve">azlika </w:t>
      </w:r>
      <w:r w:rsidR="00FD2865">
        <w:t xml:space="preserve"> se odnosi na </w:t>
      </w:r>
      <w:r w:rsidR="009541A2">
        <w:t>ostala</w:t>
      </w:r>
      <w:r w:rsidR="00FD2865">
        <w:t xml:space="preserve"> potraživanja.</w:t>
      </w:r>
    </w:p>
    <w:p w:rsidR="00EF0752" w:rsidRDefault="00EF0752" w:rsidP="00EF0752">
      <w:pPr>
        <w:spacing w:line="259" w:lineRule="auto"/>
        <w:ind w:right="-284"/>
        <w:jc w:val="both"/>
      </w:pPr>
    </w:p>
    <w:p w:rsidR="00EF0752" w:rsidRPr="00E116BB" w:rsidRDefault="00EF0752" w:rsidP="00EF0752">
      <w:pPr>
        <w:spacing w:line="259" w:lineRule="auto"/>
        <w:ind w:left="720" w:right="-284"/>
        <w:jc w:val="both"/>
      </w:pPr>
      <w:r>
        <w:t>Ispravak vrijednosti potraživana evidentiran je u iznosu od 1.</w:t>
      </w:r>
      <w:r w:rsidR="00D94558">
        <w:t>503.256,01</w:t>
      </w:r>
      <w:r>
        <w:t xml:space="preserve"> kn. </w:t>
      </w:r>
    </w:p>
    <w:p w:rsidR="006E653B" w:rsidRDefault="006E653B" w:rsidP="00FD2865">
      <w:pPr>
        <w:jc w:val="both"/>
        <w:rPr>
          <w:b/>
        </w:rPr>
      </w:pPr>
    </w:p>
    <w:p w:rsidR="006E653B" w:rsidRDefault="006E653B" w:rsidP="00FD2865">
      <w:pPr>
        <w:jc w:val="both"/>
        <w:rPr>
          <w:b/>
        </w:rPr>
      </w:pPr>
    </w:p>
    <w:p w:rsidR="00D90C24" w:rsidRDefault="00D90C24" w:rsidP="00DF4009">
      <w:pPr>
        <w:ind w:right="-284"/>
        <w:jc w:val="both"/>
        <w:rPr>
          <w:b/>
        </w:rPr>
      </w:pPr>
      <w:r w:rsidRPr="00D90C24">
        <w:rPr>
          <w:b/>
        </w:rPr>
        <w:t>AOP 163</w:t>
      </w:r>
      <w:r>
        <w:t>-</w:t>
      </w:r>
      <w:r w:rsidR="00FD2865">
        <w:t xml:space="preserve"> </w:t>
      </w:r>
      <w:r w:rsidR="00FD2865" w:rsidRPr="00D90C24">
        <w:rPr>
          <w:b/>
        </w:rPr>
        <w:t>Obveze</w:t>
      </w:r>
    </w:p>
    <w:p w:rsidR="000843CB" w:rsidRDefault="000843CB" w:rsidP="00DF4009">
      <w:pPr>
        <w:ind w:right="-284"/>
        <w:jc w:val="both"/>
      </w:pPr>
    </w:p>
    <w:p w:rsidR="009C0113" w:rsidRDefault="00140064" w:rsidP="00DF4009">
      <w:pPr>
        <w:ind w:right="-284"/>
        <w:jc w:val="both"/>
      </w:pPr>
      <w:r>
        <w:t>E</w:t>
      </w:r>
      <w:r w:rsidR="00FD2865">
        <w:t xml:space="preserve">videntirane su nepodmirene </w:t>
      </w:r>
      <w:r w:rsidR="00B80D29">
        <w:t xml:space="preserve">fakturirane </w:t>
      </w:r>
      <w:r w:rsidR="00FD2865">
        <w:t>obveze u izvještajnom</w:t>
      </w:r>
      <w:r w:rsidR="006A02B8">
        <w:t xml:space="preserve"> razdoblju u ukupnom iznosu od </w:t>
      </w:r>
      <w:r w:rsidR="00F2242B">
        <w:t>26.798.016,24</w:t>
      </w:r>
      <w:r w:rsidR="007749CA">
        <w:t xml:space="preserve"> </w:t>
      </w:r>
      <w:r w:rsidR="006A02B8">
        <w:t>kn</w:t>
      </w:r>
      <w:r w:rsidR="00FD2865">
        <w:t>,</w:t>
      </w:r>
      <w:r>
        <w:t xml:space="preserve"> </w:t>
      </w:r>
      <w:r w:rsidR="009C0113" w:rsidRPr="00154926">
        <w:t>od k</w:t>
      </w:r>
      <w:r w:rsidR="00F2242B" w:rsidRPr="00154926">
        <w:t>ojeg</w:t>
      </w:r>
      <w:r w:rsidR="00FD705F" w:rsidRPr="00154926">
        <w:t xml:space="preserve"> je dosp</w:t>
      </w:r>
      <w:r w:rsidR="00154926">
        <w:t>i</w:t>
      </w:r>
      <w:r w:rsidR="00FD705F" w:rsidRPr="00154926">
        <w:t>o iznos</w:t>
      </w:r>
      <w:r w:rsidR="00F2242B">
        <w:t xml:space="preserve"> od 503.550,67</w:t>
      </w:r>
      <w:r w:rsidR="009C0113">
        <w:t xml:space="preserve"> kn</w:t>
      </w:r>
      <w:r w:rsidR="00087E5B">
        <w:t>.</w:t>
      </w:r>
      <w:r w:rsidR="00FD2865">
        <w:t xml:space="preserve"> </w:t>
      </w:r>
      <w:r w:rsidR="0060611F">
        <w:t>Iznos</w:t>
      </w:r>
      <w:r w:rsidR="00F2242B">
        <w:t xml:space="preserve"> dospjelih </w:t>
      </w:r>
      <w:r w:rsidR="0060611F">
        <w:t>obveza</w:t>
      </w:r>
      <w:r w:rsidR="00FD2865">
        <w:t xml:space="preserve"> </w:t>
      </w:r>
      <w:r w:rsidR="0060611F">
        <w:t>ugla</w:t>
      </w:r>
      <w:r w:rsidR="00FD2865">
        <w:t xml:space="preserve">vnom </w:t>
      </w:r>
      <w:r w:rsidR="0060611F">
        <w:t>se odnosi na</w:t>
      </w:r>
      <w:r w:rsidR="00F2242B">
        <w:t xml:space="preserve"> obveze nastale krajem</w:t>
      </w:r>
      <w:r w:rsidR="00916FCF">
        <w:t xml:space="preserve"> 202</w:t>
      </w:r>
      <w:r w:rsidR="00F2242B">
        <w:t>1</w:t>
      </w:r>
      <w:r w:rsidR="00FD2865">
        <w:t>. godine</w:t>
      </w:r>
      <w:r w:rsidR="00F2242B">
        <w:t xml:space="preserve"> koje su zaprimljene tijekom siječnja 2022. </w:t>
      </w:r>
    </w:p>
    <w:p w:rsidR="00F2242B" w:rsidRDefault="00F2242B" w:rsidP="00DF4009">
      <w:pPr>
        <w:ind w:right="-284"/>
        <w:jc w:val="both"/>
      </w:pPr>
    </w:p>
    <w:p w:rsidR="00FD2865" w:rsidRDefault="00FD2865" w:rsidP="00DF4009">
      <w:pPr>
        <w:ind w:right="-284"/>
        <w:jc w:val="both"/>
      </w:pPr>
      <w:r>
        <w:t>Obveze se</w:t>
      </w:r>
      <w:r w:rsidR="006A02B8">
        <w:t xml:space="preserve"> </w:t>
      </w:r>
      <w:r w:rsidR="00A87708">
        <w:t xml:space="preserve"> u većem dijelu </w:t>
      </w:r>
      <w:r>
        <w:t>odnose na:</w:t>
      </w:r>
    </w:p>
    <w:p w:rsidR="00B80D29" w:rsidRDefault="00FD2865" w:rsidP="00DF4009">
      <w:pPr>
        <w:pStyle w:val="ListParagraph"/>
        <w:numPr>
          <w:ilvl w:val="0"/>
          <w:numId w:val="6"/>
        </w:numPr>
        <w:ind w:right="-284"/>
        <w:jc w:val="both"/>
      </w:pPr>
      <w:r>
        <w:t xml:space="preserve">obveze za nabavu nefinancijske imovine u iznosu od </w:t>
      </w:r>
      <w:r w:rsidR="00F2242B">
        <w:t>5.669.247,00</w:t>
      </w:r>
      <w:r w:rsidR="007A2921">
        <w:t xml:space="preserve"> </w:t>
      </w:r>
      <w:r w:rsidR="00B80D29">
        <w:t>kn</w:t>
      </w:r>
    </w:p>
    <w:p w:rsidR="00B80D29" w:rsidRDefault="00FD2865" w:rsidP="00DF4009">
      <w:pPr>
        <w:pStyle w:val="ListParagraph"/>
        <w:numPr>
          <w:ilvl w:val="0"/>
          <w:numId w:val="6"/>
        </w:numPr>
        <w:ind w:right="-284"/>
        <w:jc w:val="both"/>
      </w:pPr>
      <w:r>
        <w:t xml:space="preserve">obveze za </w:t>
      </w:r>
      <w:r w:rsidR="00A36EAD">
        <w:t>donacije građanima i kućanstvima putem program</w:t>
      </w:r>
      <w:r>
        <w:t xml:space="preserve">a dodjele građevinskog materijala i obnove stambenih jedinica  u iznosu od </w:t>
      </w:r>
      <w:r w:rsidR="00F1721E">
        <w:t>13.119.179,14</w:t>
      </w:r>
      <w:r w:rsidR="00B80D29">
        <w:t xml:space="preserve"> kn</w:t>
      </w:r>
    </w:p>
    <w:p w:rsidR="00FD2865" w:rsidRPr="00807FB6" w:rsidRDefault="00FD2865" w:rsidP="00DF4009">
      <w:pPr>
        <w:pStyle w:val="ListParagraph"/>
        <w:numPr>
          <w:ilvl w:val="0"/>
          <w:numId w:val="6"/>
        </w:numPr>
        <w:ind w:right="-284"/>
        <w:jc w:val="both"/>
      </w:pPr>
      <w:r w:rsidRPr="00807FB6">
        <w:t xml:space="preserve">obveze za </w:t>
      </w:r>
      <w:r w:rsidR="00D90C24" w:rsidRPr="00807FB6">
        <w:t>zaposlene</w:t>
      </w:r>
      <w:r w:rsidRPr="00807FB6">
        <w:t xml:space="preserve"> za prosinac</w:t>
      </w:r>
      <w:r w:rsidR="001B3FDC" w:rsidRPr="00807FB6">
        <w:t xml:space="preserve"> 202</w:t>
      </w:r>
      <w:r w:rsidR="00F1721E" w:rsidRPr="00807FB6">
        <w:t>1</w:t>
      </w:r>
      <w:r w:rsidR="00A36EAD" w:rsidRPr="00807FB6">
        <w:t>.</w:t>
      </w:r>
      <w:r w:rsidRPr="00807FB6">
        <w:t xml:space="preserve"> u iznosu od </w:t>
      </w:r>
      <w:r w:rsidR="001B3FDC" w:rsidRPr="00807FB6">
        <w:t>1.606.705,06</w:t>
      </w:r>
      <w:r w:rsidR="00926785" w:rsidRPr="00807FB6">
        <w:t xml:space="preserve"> kn</w:t>
      </w:r>
      <w:r w:rsidR="00B80D29" w:rsidRPr="00807FB6">
        <w:t>.</w:t>
      </w:r>
    </w:p>
    <w:p w:rsidR="00FD2865" w:rsidRDefault="00FD2865" w:rsidP="00FD2865">
      <w:pPr>
        <w:ind w:left="5672"/>
        <w:jc w:val="both"/>
      </w:pPr>
    </w:p>
    <w:p w:rsidR="004158DD" w:rsidRDefault="004158DD" w:rsidP="00010CE9">
      <w:pPr>
        <w:jc w:val="both"/>
        <w:rPr>
          <w:b/>
        </w:rPr>
      </w:pPr>
    </w:p>
    <w:p w:rsidR="000843CB" w:rsidRDefault="000843CB" w:rsidP="00010CE9">
      <w:pPr>
        <w:jc w:val="both"/>
        <w:rPr>
          <w:b/>
        </w:rPr>
      </w:pPr>
    </w:p>
    <w:p w:rsidR="00010CE9" w:rsidRDefault="00010CE9" w:rsidP="00010CE9">
      <w:pPr>
        <w:jc w:val="both"/>
        <w:rPr>
          <w:b/>
        </w:rPr>
      </w:pPr>
      <w:r>
        <w:rPr>
          <w:b/>
        </w:rPr>
        <w:t>AOP  24</w:t>
      </w:r>
      <w:r w:rsidR="00136A7C">
        <w:rPr>
          <w:b/>
        </w:rPr>
        <w:t>5</w:t>
      </w:r>
      <w:r>
        <w:rPr>
          <w:b/>
        </w:rPr>
        <w:t xml:space="preserve"> </w:t>
      </w:r>
      <w:r w:rsidR="00D90C24">
        <w:rPr>
          <w:b/>
        </w:rPr>
        <w:t>-</w:t>
      </w:r>
      <w:r>
        <w:rPr>
          <w:b/>
        </w:rPr>
        <w:t xml:space="preserve"> Izvanbilančni zapisi    </w:t>
      </w:r>
    </w:p>
    <w:p w:rsidR="00FD2865" w:rsidRDefault="00FD2865" w:rsidP="00FD2865">
      <w:pPr>
        <w:jc w:val="both"/>
        <w:rPr>
          <w:b/>
        </w:rPr>
      </w:pPr>
    </w:p>
    <w:p w:rsidR="006A37DE" w:rsidRDefault="00FD2865" w:rsidP="006A37DE">
      <w:pPr>
        <w:jc w:val="both"/>
      </w:pPr>
      <w:r w:rsidRPr="00292644">
        <w:t>Na kontima</w:t>
      </w:r>
      <w:r w:rsidRPr="00B572A6">
        <w:t xml:space="preserve"> </w:t>
      </w:r>
      <w:r w:rsidRPr="009609FB">
        <w:rPr>
          <w:b/>
        </w:rPr>
        <w:t>izvanbilančnih zapisa</w:t>
      </w:r>
      <w:r w:rsidRPr="00B572A6">
        <w:t xml:space="preserve"> </w:t>
      </w:r>
      <w:r w:rsidR="00140064">
        <w:t>991/996 provedene su sl</w:t>
      </w:r>
      <w:r>
        <w:t>jedeće evidencije</w:t>
      </w:r>
      <w:r w:rsidR="00A36EAD">
        <w:t xml:space="preserve"> u ukupnom iznosu od </w:t>
      </w:r>
      <w:r w:rsidR="00EC251D">
        <w:t xml:space="preserve"> </w:t>
      </w:r>
      <w:r w:rsidR="00DC74D0">
        <w:t xml:space="preserve">483.388.699,88 </w:t>
      </w:r>
      <w:r w:rsidR="00FA69F1">
        <w:t xml:space="preserve"> </w:t>
      </w:r>
      <w:r w:rsidR="00A36EAD">
        <w:t>kn, a odnose se na</w:t>
      </w:r>
      <w:r>
        <w:t xml:space="preserve">: </w:t>
      </w:r>
    </w:p>
    <w:tbl>
      <w:tblPr>
        <w:tblW w:w="9880" w:type="dxa"/>
        <w:tblLook w:val="04A0" w:firstRow="1" w:lastRow="0" w:firstColumn="1" w:lastColumn="0" w:noHBand="0" w:noVBand="1"/>
      </w:tblPr>
      <w:tblGrid>
        <w:gridCol w:w="1013"/>
        <w:gridCol w:w="2406"/>
        <w:gridCol w:w="1821"/>
        <w:gridCol w:w="4640"/>
      </w:tblGrid>
      <w:tr w:rsidR="00A85502" w:rsidRPr="00A85502" w:rsidTr="00DA43CA">
        <w:trPr>
          <w:trHeight w:val="3101"/>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02" w:rsidRPr="00A85502" w:rsidRDefault="00231CA6" w:rsidP="00A85502">
            <w:pPr>
              <w:rPr>
                <w:color w:val="000000"/>
              </w:rPr>
            </w:pPr>
            <w:r>
              <w:rPr>
                <w:color w:val="000000"/>
              </w:rPr>
              <w:t>991</w:t>
            </w:r>
            <w:r w:rsidR="00A85502" w:rsidRPr="00A85502">
              <w:rPr>
                <w:color w:val="000000"/>
              </w:rPr>
              <w:t>41</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A85502" w:rsidRPr="00A85502" w:rsidRDefault="00A85502" w:rsidP="00A85502">
            <w:pPr>
              <w:rPr>
                <w:color w:val="000000"/>
              </w:rPr>
            </w:pPr>
            <w:r w:rsidRPr="00A85502">
              <w:rPr>
                <w:color w:val="000000"/>
              </w:rPr>
              <w:t>Primljeni instrumenti osiguranja plaćanja</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A85502" w:rsidRPr="00A85502" w:rsidRDefault="00E23983" w:rsidP="00140064">
            <w:pPr>
              <w:rPr>
                <w:color w:val="000000"/>
              </w:rPr>
            </w:pPr>
            <w:r>
              <w:rPr>
                <w:color w:val="000000"/>
              </w:rPr>
              <w:t>15.111.692,78</w:t>
            </w:r>
            <w:r w:rsidR="00AB4DD3">
              <w:rPr>
                <w:color w:val="000000"/>
              </w:rPr>
              <w:t xml:space="preserve"> </w:t>
            </w:r>
            <w:r w:rsidR="00140064">
              <w:rPr>
                <w:color w:val="000000"/>
              </w:rPr>
              <w:t>k</w:t>
            </w:r>
            <w:r w:rsidR="00AB4DD3">
              <w:rPr>
                <w:color w:val="000000"/>
              </w:rPr>
              <w:t>n</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A85502" w:rsidRPr="00A85502" w:rsidRDefault="00A85502" w:rsidP="00E23983">
            <w:pPr>
              <w:rPr>
                <w:color w:val="000000"/>
              </w:rPr>
            </w:pPr>
            <w:r w:rsidRPr="00A85502">
              <w:rPr>
                <w:color w:val="000000"/>
              </w:rPr>
              <w:t>Početno stanje važećih bankarskih garancija, polica osiguranja i zadužnica preuze</w:t>
            </w:r>
            <w:r w:rsidR="00D076B3">
              <w:rPr>
                <w:color w:val="000000"/>
              </w:rPr>
              <w:t>tih od dobavljača na dan 1.1.202</w:t>
            </w:r>
            <w:r w:rsidR="00E23983">
              <w:rPr>
                <w:color w:val="000000"/>
              </w:rPr>
              <w:t>1</w:t>
            </w:r>
            <w:r w:rsidRPr="00A85502">
              <w:rPr>
                <w:color w:val="000000"/>
              </w:rPr>
              <w:t xml:space="preserve">. godine iznosi </w:t>
            </w:r>
            <w:r w:rsidR="00FB70DE">
              <w:rPr>
                <w:color w:val="000000"/>
              </w:rPr>
              <w:t>2</w:t>
            </w:r>
            <w:r w:rsidR="00E23983">
              <w:rPr>
                <w:color w:val="000000"/>
              </w:rPr>
              <w:t>5.324.575,81</w:t>
            </w:r>
            <w:r w:rsidRPr="00A85502">
              <w:rPr>
                <w:color w:val="000000"/>
              </w:rPr>
              <w:t xml:space="preserve"> kn. Isti iznos je umanjen za instrumente osiguranja plać</w:t>
            </w:r>
            <w:r w:rsidR="00FB70DE">
              <w:rPr>
                <w:color w:val="000000"/>
              </w:rPr>
              <w:t>anja kojima je istekao rok u 202</w:t>
            </w:r>
            <w:r w:rsidR="00E23983">
              <w:rPr>
                <w:color w:val="000000"/>
              </w:rPr>
              <w:t>1</w:t>
            </w:r>
            <w:r w:rsidRPr="00A85502">
              <w:rPr>
                <w:color w:val="000000"/>
              </w:rPr>
              <w:t>. godini te uvećan za iznos novih instrumenata osigur</w:t>
            </w:r>
            <w:r w:rsidR="00FB70DE">
              <w:rPr>
                <w:color w:val="000000"/>
              </w:rPr>
              <w:t>anja plaćanja zaprimljenih u 202</w:t>
            </w:r>
            <w:r w:rsidR="00E23983">
              <w:rPr>
                <w:color w:val="000000"/>
              </w:rPr>
              <w:t>1</w:t>
            </w:r>
            <w:r w:rsidRPr="00A85502">
              <w:rPr>
                <w:color w:val="000000"/>
              </w:rPr>
              <w:t xml:space="preserve">. godini. </w:t>
            </w:r>
          </w:p>
        </w:tc>
      </w:tr>
      <w:tr w:rsidR="00090C35" w:rsidRPr="00A85502" w:rsidTr="00DA43CA">
        <w:trPr>
          <w:trHeight w:val="3101"/>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090C35" w:rsidRPr="00A85502" w:rsidRDefault="00231CA6" w:rsidP="00A85502">
            <w:pPr>
              <w:rPr>
                <w:color w:val="000000"/>
              </w:rPr>
            </w:pPr>
            <w:r>
              <w:rPr>
                <w:color w:val="000000"/>
              </w:rPr>
              <w:lastRenderedPageBreak/>
              <w:t>991</w:t>
            </w:r>
            <w:r w:rsidR="00090C35">
              <w:rPr>
                <w:color w:val="000000"/>
              </w:rPr>
              <w:t>41-1</w:t>
            </w:r>
          </w:p>
        </w:tc>
        <w:tc>
          <w:tcPr>
            <w:tcW w:w="2406" w:type="dxa"/>
            <w:tcBorders>
              <w:top w:val="single" w:sz="4" w:space="0" w:color="auto"/>
              <w:left w:val="nil"/>
              <w:bottom w:val="single" w:sz="4" w:space="0" w:color="auto"/>
              <w:right w:val="single" w:sz="4" w:space="0" w:color="auto"/>
            </w:tcBorders>
            <w:shd w:val="clear" w:color="auto" w:fill="auto"/>
            <w:vAlign w:val="center"/>
          </w:tcPr>
          <w:p w:rsidR="00090C35" w:rsidRPr="00A85502" w:rsidRDefault="00090C35" w:rsidP="00A85502">
            <w:pPr>
              <w:rPr>
                <w:color w:val="000000"/>
              </w:rPr>
            </w:pPr>
            <w:r>
              <w:rPr>
                <w:color w:val="000000"/>
              </w:rPr>
              <w:t>Instrumenti osiguranja plaćanja –zadržana sredstva</w:t>
            </w:r>
          </w:p>
        </w:tc>
        <w:tc>
          <w:tcPr>
            <w:tcW w:w="1821" w:type="dxa"/>
            <w:tcBorders>
              <w:top w:val="single" w:sz="4" w:space="0" w:color="auto"/>
              <w:left w:val="nil"/>
              <w:bottom w:val="single" w:sz="4" w:space="0" w:color="auto"/>
              <w:right w:val="single" w:sz="4" w:space="0" w:color="auto"/>
            </w:tcBorders>
            <w:shd w:val="clear" w:color="auto" w:fill="auto"/>
            <w:vAlign w:val="center"/>
          </w:tcPr>
          <w:p w:rsidR="00090C35" w:rsidRDefault="00E12C8B" w:rsidP="008D38A0">
            <w:pPr>
              <w:jc w:val="right"/>
              <w:rPr>
                <w:color w:val="000000"/>
              </w:rPr>
            </w:pPr>
            <w:r>
              <w:rPr>
                <w:color w:val="000000"/>
              </w:rPr>
              <w:t xml:space="preserve">10.552.669,16 </w:t>
            </w:r>
            <w:r w:rsidR="00090C35">
              <w:rPr>
                <w:color w:val="000000"/>
              </w:rPr>
              <w:t>kn</w:t>
            </w:r>
          </w:p>
        </w:tc>
        <w:tc>
          <w:tcPr>
            <w:tcW w:w="4640" w:type="dxa"/>
            <w:tcBorders>
              <w:top w:val="single" w:sz="4" w:space="0" w:color="auto"/>
              <w:left w:val="nil"/>
              <w:bottom w:val="single" w:sz="4" w:space="0" w:color="auto"/>
              <w:right w:val="single" w:sz="4" w:space="0" w:color="auto"/>
            </w:tcBorders>
            <w:shd w:val="clear" w:color="auto" w:fill="auto"/>
            <w:vAlign w:val="center"/>
          </w:tcPr>
          <w:p w:rsidR="00090C35" w:rsidRPr="00A85502" w:rsidRDefault="00D6076F" w:rsidP="00607A68">
            <w:pPr>
              <w:rPr>
                <w:color w:val="000000"/>
              </w:rPr>
            </w:pPr>
            <w:r>
              <w:rPr>
                <w:color w:val="000000"/>
              </w:rPr>
              <w:t xml:space="preserve">Navedeni iznos odnosi se na zadržana sredstva umanjena od fakturiranog iznosa građevinskih situacija u slučajevima kada nije dostavljena </w:t>
            </w:r>
            <w:r w:rsidR="00E05313">
              <w:rPr>
                <w:color w:val="000000"/>
              </w:rPr>
              <w:t>važeća garancija za otklanjanje nedostataka u garantnom roku.</w:t>
            </w:r>
          </w:p>
        </w:tc>
      </w:tr>
      <w:tr w:rsidR="00A85502" w:rsidRPr="00A85502" w:rsidTr="00DA43CA">
        <w:trPr>
          <w:trHeight w:val="1416"/>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02" w:rsidRPr="00A85502" w:rsidRDefault="00231CA6" w:rsidP="00967B8B">
            <w:pPr>
              <w:rPr>
                <w:color w:val="000000"/>
              </w:rPr>
            </w:pPr>
            <w:r>
              <w:rPr>
                <w:color w:val="000000"/>
              </w:rPr>
              <w:t>991</w:t>
            </w:r>
            <w:r w:rsidR="00967B8B">
              <w:rPr>
                <w:color w:val="000000"/>
              </w:rPr>
              <w:t>5</w:t>
            </w:r>
            <w:r w:rsidR="00A85502" w:rsidRPr="00A85502">
              <w:rPr>
                <w:color w:val="000000"/>
              </w:rPr>
              <w:t>1</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A85502" w:rsidRPr="00A85502" w:rsidRDefault="00A85502" w:rsidP="00A85502">
            <w:pPr>
              <w:rPr>
                <w:color w:val="000000"/>
              </w:rPr>
            </w:pPr>
            <w:r w:rsidRPr="00A85502">
              <w:rPr>
                <w:color w:val="000000"/>
              </w:rPr>
              <w:t>Obveze za predmete u sudskom postupku</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A85502" w:rsidRPr="00A85502" w:rsidRDefault="00074CE3" w:rsidP="00CF5511">
            <w:pPr>
              <w:jc w:val="right"/>
              <w:rPr>
                <w:color w:val="000000"/>
              </w:rPr>
            </w:pPr>
            <w:r>
              <w:rPr>
                <w:color w:val="000000"/>
              </w:rPr>
              <w:t>81.064.787,95</w:t>
            </w:r>
            <w:r w:rsidR="00D556C5">
              <w:rPr>
                <w:color w:val="000000"/>
              </w:rPr>
              <w:t xml:space="preserve"> </w:t>
            </w:r>
            <w:r w:rsidR="00AB4DD3">
              <w:rPr>
                <w:color w:val="000000"/>
              </w:rPr>
              <w:t xml:space="preserve"> kn</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A85502" w:rsidRPr="00A85502" w:rsidRDefault="002D57CB" w:rsidP="002D57CB">
            <w:pPr>
              <w:rPr>
                <w:color w:val="000000"/>
              </w:rPr>
            </w:pPr>
            <w:r>
              <w:rPr>
                <w:color w:val="000000"/>
              </w:rPr>
              <w:t>Popis suds</w:t>
            </w:r>
            <w:r w:rsidR="000805C5">
              <w:rPr>
                <w:color w:val="000000"/>
              </w:rPr>
              <w:t>kih sporova u tijeku sastavni su</w:t>
            </w:r>
            <w:r>
              <w:rPr>
                <w:color w:val="000000"/>
              </w:rPr>
              <w:t xml:space="preserve"> dio i priložen je uz B</w:t>
            </w:r>
            <w:r w:rsidR="00F80DD4">
              <w:rPr>
                <w:color w:val="000000"/>
              </w:rPr>
              <w:t>ilješke uz financijska izvješća</w:t>
            </w:r>
          </w:p>
        </w:tc>
      </w:tr>
      <w:tr w:rsidR="00C14069" w:rsidRPr="00A85502" w:rsidTr="00DA43CA">
        <w:trPr>
          <w:trHeight w:val="1416"/>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C14069" w:rsidRPr="00A85502" w:rsidRDefault="00C14069" w:rsidP="00967B8B">
            <w:pPr>
              <w:rPr>
                <w:color w:val="000000"/>
              </w:rPr>
            </w:pPr>
            <w:r>
              <w:rPr>
                <w:color w:val="000000"/>
              </w:rPr>
              <w:t>99</w:t>
            </w:r>
            <w:r w:rsidR="00231CA6">
              <w:rPr>
                <w:color w:val="000000"/>
              </w:rPr>
              <w:t>191</w:t>
            </w:r>
          </w:p>
        </w:tc>
        <w:tc>
          <w:tcPr>
            <w:tcW w:w="2406" w:type="dxa"/>
            <w:tcBorders>
              <w:top w:val="single" w:sz="4" w:space="0" w:color="auto"/>
              <w:left w:val="nil"/>
              <w:bottom w:val="single" w:sz="4" w:space="0" w:color="auto"/>
              <w:right w:val="single" w:sz="4" w:space="0" w:color="auto"/>
            </w:tcBorders>
            <w:shd w:val="clear" w:color="auto" w:fill="auto"/>
            <w:vAlign w:val="center"/>
          </w:tcPr>
          <w:p w:rsidR="00C14069" w:rsidRPr="00A85502" w:rsidRDefault="00C14069" w:rsidP="00A85502">
            <w:pPr>
              <w:rPr>
                <w:color w:val="000000"/>
              </w:rPr>
            </w:pPr>
            <w:r>
              <w:rPr>
                <w:color w:val="000000"/>
              </w:rPr>
              <w:t>Ostali izvanbilančni zapisi – nesituirani (nefakurirani) iznos potencijalnih obveza po aktivnim ugovorima s dobavljačima</w:t>
            </w:r>
          </w:p>
        </w:tc>
        <w:tc>
          <w:tcPr>
            <w:tcW w:w="1821" w:type="dxa"/>
            <w:tcBorders>
              <w:top w:val="single" w:sz="4" w:space="0" w:color="auto"/>
              <w:left w:val="nil"/>
              <w:bottom w:val="single" w:sz="4" w:space="0" w:color="auto"/>
              <w:right w:val="single" w:sz="4" w:space="0" w:color="auto"/>
            </w:tcBorders>
            <w:shd w:val="clear" w:color="auto" w:fill="auto"/>
            <w:vAlign w:val="center"/>
          </w:tcPr>
          <w:p w:rsidR="00C14069" w:rsidRDefault="006938A4" w:rsidP="00CF5511">
            <w:pPr>
              <w:jc w:val="right"/>
              <w:rPr>
                <w:color w:val="000000"/>
              </w:rPr>
            </w:pPr>
            <w:r>
              <w:rPr>
                <w:color w:val="000000"/>
              </w:rPr>
              <w:t>376.659.528,99 kn</w:t>
            </w:r>
          </w:p>
        </w:tc>
        <w:tc>
          <w:tcPr>
            <w:tcW w:w="4640" w:type="dxa"/>
            <w:tcBorders>
              <w:top w:val="single" w:sz="4" w:space="0" w:color="auto"/>
              <w:left w:val="nil"/>
              <w:bottom w:val="single" w:sz="4" w:space="0" w:color="auto"/>
              <w:right w:val="single" w:sz="4" w:space="0" w:color="auto"/>
            </w:tcBorders>
            <w:shd w:val="clear" w:color="auto" w:fill="auto"/>
            <w:vAlign w:val="center"/>
          </w:tcPr>
          <w:p w:rsidR="00C14069" w:rsidRDefault="00C14069" w:rsidP="00C812CC">
            <w:pPr>
              <w:rPr>
                <w:color w:val="000000"/>
              </w:rPr>
            </w:pPr>
            <w:r>
              <w:rPr>
                <w:color w:val="000000"/>
              </w:rPr>
              <w:t>Popis ugovora potpisanih s dobavljačima za isporuku roba i usluga</w:t>
            </w:r>
            <w:r w:rsidR="00C812CC">
              <w:rPr>
                <w:color w:val="000000"/>
              </w:rPr>
              <w:t xml:space="preserve"> – nerealizirani iznos ugovora, priložen je uz Bilješke uz financijska izvješća</w:t>
            </w:r>
          </w:p>
        </w:tc>
      </w:tr>
      <w:tr w:rsidR="000D0985" w:rsidRPr="00A85502" w:rsidTr="00DA43CA">
        <w:trPr>
          <w:trHeight w:val="983"/>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0D0985" w:rsidRPr="00A85502" w:rsidRDefault="00231CA6" w:rsidP="00A85502">
            <w:pPr>
              <w:rPr>
                <w:color w:val="000000"/>
              </w:rPr>
            </w:pPr>
            <w:r>
              <w:rPr>
                <w:color w:val="000000"/>
              </w:rPr>
              <w:t>99111</w:t>
            </w:r>
          </w:p>
        </w:tc>
        <w:tc>
          <w:tcPr>
            <w:tcW w:w="2406" w:type="dxa"/>
            <w:tcBorders>
              <w:top w:val="single" w:sz="4" w:space="0" w:color="auto"/>
              <w:left w:val="nil"/>
              <w:bottom w:val="single" w:sz="4" w:space="0" w:color="auto"/>
              <w:right w:val="single" w:sz="4" w:space="0" w:color="auto"/>
            </w:tcBorders>
            <w:shd w:val="clear" w:color="auto" w:fill="auto"/>
            <w:vAlign w:val="center"/>
          </w:tcPr>
          <w:p w:rsidR="00C05C9B" w:rsidRPr="00A85502" w:rsidRDefault="002D57CB" w:rsidP="00A85502">
            <w:pPr>
              <w:rPr>
                <w:color w:val="000000"/>
              </w:rPr>
            </w:pPr>
            <w:r>
              <w:rPr>
                <w:color w:val="000000"/>
              </w:rPr>
              <w:t>Tuđa imovina dobivena na korištenje</w:t>
            </w:r>
          </w:p>
        </w:tc>
        <w:tc>
          <w:tcPr>
            <w:tcW w:w="1821" w:type="dxa"/>
            <w:tcBorders>
              <w:top w:val="single" w:sz="4" w:space="0" w:color="auto"/>
              <w:left w:val="nil"/>
              <w:bottom w:val="single" w:sz="4" w:space="0" w:color="auto"/>
              <w:right w:val="single" w:sz="4" w:space="0" w:color="auto"/>
            </w:tcBorders>
            <w:shd w:val="clear" w:color="auto" w:fill="auto"/>
            <w:vAlign w:val="center"/>
          </w:tcPr>
          <w:p w:rsidR="000D0985" w:rsidRPr="00A85502" w:rsidRDefault="002D57CB" w:rsidP="00FA69F1">
            <w:pPr>
              <w:jc w:val="right"/>
              <w:rPr>
                <w:color w:val="000000"/>
              </w:rPr>
            </w:pPr>
            <w:r>
              <w:rPr>
                <w:color w:val="000000"/>
              </w:rPr>
              <w:t>21</w:t>
            </w:r>
            <w:r w:rsidR="008367AE">
              <w:rPr>
                <w:color w:val="000000"/>
              </w:rPr>
              <w:t>,00</w:t>
            </w:r>
            <w:r>
              <w:rPr>
                <w:color w:val="000000"/>
              </w:rPr>
              <w:t xml:space="preserve"> kn</w:t>
            </w:r>
          </w:p>
        </w:tc>
        <w:tc>
          <w:tcPr>
            <w:tcW w:w="4640" w:type="dxa"/>
            <w:tcBorders>
              <w:top w:val="single" w:sz="4" w:space="0" w:color="auto"/>
              <w:left w:val="nil"/>
              <w:bottom w:val="single" w:sz="4" w:space="0" w:color="auto"/>
              <w:right w:val="single" w:sz="4" w:space="0" w:color="auto"/>
            </w:tcBorders>
            <w:shd w:val="clear" w:color="auto" w:fill="auto"/>
            <w:vAlign w:val="center"/>
          </w:tcPr>
          <w:p w:rsidR="000D0985" w:rsidRPr="00A85502" w:rsidRDefault="002D57CB" w:rsidP="00325BE0">
            <w:pPr>
              <w:rPr>
                <w:color w:val="000000"/>
              </w:rPr>
            </w:pPr>
            <w:r>
              <w:rPr>
                <w:color w:val="000000"/>
              </w:rPr>
              <w:t xml:space="preserve">Iznos se odnosi </w:t>
            </w:r>
            <w:r w:rsidR="00325BE0">
              <w:rPr>
                <w:color w:val="000000"/>
              </w:rPr>
              <w:t>na 21 stambenu jedinicu preuzetu od Ministarstva državne imovine namijenjene za stambeno zbrinjavanje osoba s odobrenom međunarodnom zaštitom</w:t>
            </w:r>
          </w:p>
        </w:tc>
      </w:tr>
    </w:tbl>
    <w:p w:rsidR="00A85502" w:rsidRDefault="00A85502" w:rsidP="006A37DE">
      <w:pPr>
        <w:jc w:val="both"/>
      </w:pPr>
    </w:p>
    <w:p w:rsidR="00B940A1" w:rsidRDefault="00B940A1" w:rsidP="006A37DE">
      <w:pPr>
        <w:jc w:val="both"/>
      </w:pPr>
    </w:p>
    <w:p w:rsidR="00B940A1" w:rsidRDefault="00B940A1" w:rsidP="006A37DE">
      <w:pPr>
        <w:jc w:val="both"/>
      </w:pPr>
    </w:p>
    <w:p w:rsidR="00B940A1" w:rsidRDefault="00B940A1" w:rsidP="006A37DE">
      <w:pPr>
        <w:jc w:val="both"/>
      </w:pPr>
    </w:p>
    <w:p w:rsidR="00B940A1" w:rsidRDefault="00B940A1" w:rsidP="006A37DE">
      <w:pPr>
        <w:jc w:val="both"/>
      </w:pPr>
    </w:p>
    <w:p w:rsidR="00FC2498" w:rsidRDefault="00FC2498" w:rsidP="006A02B8">
      <w:pPr>
        <w:jc w:val="both"/>
      </w:pPr>
    </w:p>
    <w:p w:rsidR="00FC2498" w:rsidRPr="00FC2498" w:rsidRDefault="00FC2498" w:rsidP="00FC2498">
      <w:pPr>
        <w:pBdr>
          <w:top w:val="single" w:sz="4" w:space="1" w:color="auto"/>
          <w:left w:val="single" w:sz="4" w:space="4" w:color="auto"/>
          <w:bottom w:val="single" w:sz="4" w:space="1" w:color="auto"/>
          <w:right w:val="single" w:sz="4" w:space="4" w:color="auto"/>
        </w:pBdr>
        <w:jc w:val="both"/>
        <w:rPr>
          <w:b/>
        </w:rPr>
      </w:pPr>
      <w:r w:rsidRPr="00FC2498">
        <w:rPr>
          <w:b/>
        </w:rPr>
        <w:t>BILJEŠKE UZ PROMJENE U VRIJEDNOSTI</w:t>
      </w:r>
      <w:r w:rsidR="00C75619">
        <w:rPr>
          <w:b/>
        </w:rPr>
        <w:t xml:space="preserve"> </w:t>
      </w:r>
      <w:r w:rsidRPr="00FC2498">
        <w:rPr>
          <w:b/>
        </w:rPr>
        <w:t xml:space="preserve"> IMOVINE I OBVEZA</w:t>
      </w:r>
    </w:p>
    <w:p w:rsidR="00FC2498" w:rsidRPr="00FC2498" w:rsidRDefault="00FC2498" w:rsidP="006A02B8">
      <w:pPr>
        <w:jc w:val="both"/>
        <w:rPr>
          <w:b/>
        </w:rPr>
      </w:pPr>
    </w:p>
    <w:p w:rsidR="00FC2498" w:rsidRDefault="00FC2498" w:rsidP="006A02B8">
      <w:pPr>
        <w:jc w:val="both"/>
      </w:pPr>
    </w:p>
    <w:p w:rsidR="008C6AE7" w:rsidRDefault="00FC2498" w:rsidP="006A02B8">
      <w:pPr>
        <w:jc w:val="both"/>
      </w:pPr>
      <w:r w:rsidRPr="00F649CE">
        <w:t xml:space="preserve">Promjene u obujmu imovine na strani </w:t>
      </w:r>
      <w:r w:rsidRPr="00F649CE">
        <w:rPr>
          <w:b/>
        </w:rPr>
        <w:t xml:space="preserve">povećanja </w:t>
      </w:r>
      <w:r w:rsidR="008D285F" w:rsidRPr="00F649CE">
        <w:t>vrijednosti</w:t>
      </w:r>
      <w:r w:rsidR="008D285F" w:rsidRPr="00F649CE">
        <w:rPr>
          <w:b/>
        </w:rPr>
        <w:t xml:space="preserve"> </w:t>
      </w:r>
      <w:r w:rsidR="00FA1445" w:rsidRPr="00F649CE">
        <w:t xml:space="preserve">iznose </w:t>
      </w:r>
      <w:r w:rsidR="00911241">
        <w:t>28.410.873,</w:t>
      </w:r>
      <w:r w:rsidR="00C75619">
        <w:t>50</w:t>
      </w:r>
      <w:r w:rsidRPr="00F649CE">
        <w:t xml:space="preserve"> kn. </w:t>
      </w:r>
      <w:r w:rsidR="004005BE" w:rsidRPr="00F649CE">
        <w:t>I</w:t>
      </w:r>
      <w:r w:rsidR="00F649CE">
        <w:t xml:space="preserve">znos od </w:t>
      </w:r>
      <w:r w:rsidR="00C75619">
        <w:t>25.200.966,51</w:t>
      </w:r>
      <w:r w:rsidRPr="00F649CE">
        <w:t xml:space="preserve"> kn odnosi se na </w:t>
      </w:r>
      <w:r w:rsidR="00F649CE">
        <w:t>kupnju 4</w:t>
      </w:r>
      <w:r w:rsidR="00C75619">
        <w:t>8</w:t>
      </w:r>
      <w:r w:rsidRPr="00F649CE">
        <w:t xml:space="preserve"> stan</w:t>
      </w:r>
      <w:r w:rsidR="00C75619">
        <w:t>ova</w:t>
      </w:r>
      <w:r w:rsidR="00F649CE">
        <w:t xml:space="preserve"> i dokup </w:t>
      </w:r>
      <w:r w:rsidR="00C75619">
        <w:t>6</w:t>
      </w:r>
      <w:r w:rsidRPr="00F649CE">
        <w:t xml:space="preserve"> zemljišta za potrebe stambenog zbrinjavanja iz nadležnosti SDUOSZ-a. Sredstva su plaćena od strane Agencije za promet nekretnina, te dane na upravljanje SDUOSZ.</w:t>
      </w:r>
      <w:r w:rsidR="00964D65" w:rsidRPr="00F649CE">
        <w:t xml:space="preserve"> </w:t>
      </w:r>
    </w:p>
    <w:p w:rsidR="00911241" w:rsidRPr="00F649CE" w:rsidRDefault="00911241" w:rsidP="006A02B8">
      <w:pPr>
        <w:jc w:val="both"/>
      </w:pPr>
      <w:r>
        <w:t>Iznos od 3.209.905,99 kn odnosi s</w:t>
      </w:r>
      <w:r w:rsidR="00A871E2">
        <w:t>e</w:t>
      </w:r>
      <w:r>
        <w:t xml:space="preserve"> na otpis dijela obveza prema dobavljačima temeljem Odluke SDUSZ, pravnih osoba koje su iz</w:t>
      </w:r>
      <w:r w:rsidR="002F2C9C">
        <w:t>brisane iz sudskog registra ili im je nakon stečaja promijenjen status</w:t>
      </w:r>
      <w:r>
        <w:t>.</w:t>
      </w:r>
    </w:p>
    <w:p w:rsidR="009506AD" w:rsidRDefault="008D285F" w:rsidP="006A02B8">
      <w:pPr>
        <w:jc w:val="both"/>
      </w:pPr>
      <w:r>
        <w:t xml:space="preserve">Promjene na obujmu na strani </w:t>
      </w:r>
      <w:r w:rsidRPr="008D285F">
        <w:rPr>
          <w:b/>
        </w:rPr>
        <w:t>smanjenja</w:t>
      </w:r>
      <w:r>
        <w:t xml:space="preserve"> vrijednosti</w:t>
      </w:r>
      <w:r w:rsidR="009A1AC3">
        <w:t xml:space="preserve"> iznose </w:t>
      </w:r>
      <w:r w:rsidR="00CB37AD">
        <w:t>22.352.868,44</w:t>
      </w:r>
      <w:r w:rsidR="009506AD" w:rsidRPr="00C75619">
        <w:rPr>
          <w:color w:val="FF0000"/>
        </w:rPr>
        <w:t xml:space="preserve"> </w:t>
      </w:r>
      <w:r w:rsidR="009506AD">
        <w:t xml:space="preserve">kn. </w:t>
      </w:r>
      <w:r w:rsidR="00FB5349">
        <w:t>I</w:t>
      </w:r>
      <w:r w:rsidR="00527C2C">
        <w:t xml:space="preserve">znos od </w:t>
      </w:r>
      <w:r w:rsidR="00C75619">
        <w:t>21.097.884,32</w:t>
      </w:r>
      <w:r w:rsidR="009506AD">
        <w:t xml:space="preserve"> kn odnosi se na razliku nabavne vrijednosti i prodajne cijene za prodane stanove izvan područja od posebne državne skrbi za jednokratno plaćanje i obročnu otplatu.</w:t>
      </w:r>
    </w:p>
    <w:p w:rsidR="009506AD" w:rsidRDefault="009A1AC3" w:rsidP="006A02B8">
      <w:pPr>
        <w:jc w:val="both"/>
      </w:pPr>
      <w:r>
        <w:t xml:space="preserve">Iznos od </w:t>
      </w:r>
      <w:r w:rsidR="00C75619">
        <w:t>1.133.448,42</w:t>
      </w:r>
      <w:r w:rsidR="009506AD">
        <w:t xml:space="preserve"> kn odnosi se na otpis potraživanja za najam stambenih jedinica u vlasništvu RH temeljem Odluke</w:t>
      </w:r>
      <w:r w:rsidR="00AA4567">
        <w:t xml:space="preserve"> o </w:t>
      </w:r>
      <w:r w:rsidR="00690674">
        <w:t>otpisu potraživanja s naslova najma stambenih jedinica u vlasništvu RH kojim upravlja SDUOSZ</w:t>
      </w:r>
      <w:r w:rsidR="00527C2C">
        <w:t>, te iznos od 1</w:t>
      </w:r>
      <w:r w:rsidR="00C75619">
        <w:t>3.268,90</w:t>
      </w:r>
      <w:r w:rsidR="00527C2C">
        <w:t xml:space="preserve"> kn otpis najma korisnicima </w:t>
      </w:r>
      <w:r w:rsidR="00527C2C">
        <w:lastRenderedPageBreak/>
        <w:t>temeljem rješenja Minis</w:t>
      </w:r>
      <w:r w:rsidR="00C75619">
        <w:t xml:space="preserve">tarstva financija o otpisu duga fizičkim osobama. Iznos od 105.913,97 kn odnosi se na otpis isplaćenog avansa temeljem odluke SDUOSZ. </w:t>
      </w:r>
      <w:r w:rsidR="003A72FF">
        <w:t xml:space="preserve"> </w:t>
      </w:r>
    </w:p>
    <w:p w:rsidR="003A72FF" w:rsidRPr="00FC2498" w:rsidRDefault="00527C2C" w:rsidP="006A02B8">
      <w:pPr>
        <w:jc w:val="both"/>
      </w:pPr>
      <w:r>
        <w:t xml:space="preserve">Ostatak iznosa od </w:t>
      </w:r>
      <w:r w:rsidR="00523051">
        <w:t>2.352,83</w:t>
      </w:r>
      <w:r w:rsidR="003A72FF" w:rsidRPr="00C75619">
        <w:rPr>
          <w:color w:val="FF0000"/>
        </w:rPr>
        <w:t xml:space="preserve"> </w:t>
      </w:r>
      <w:r w:rsidR="003A72FF">
        <w:t xml:space="preserve">kn odnosi se na neamortiziranu vrijednost rashodovane imovine. </w:t>
      </w:r>
    </w:p>
    <w:p w:rsidR="00FC2498" w:rsidRDefault="00FC2498" w:rsidP="006A02B8">
      <w:pPr>
        <w:jc w:val="both"/>
      </w:pPr>
    </w:p>
    <w:p w:rsidR="006A02B8" w:rsidRDefault="006A02B8" w:rsidP="006A02B8">
      <w:pPr>
        <w:jc w:val="both"/>
      </w:pPr>
      <w:r>
        <w:t xml:space="preserve">Zagreb, </w:t>
      </w:r>
      <w:r w:rsidR="00C75619">
        <w:t>3</w:t>
      </w:r>
      <w:r w:rsidR="00D04AE3">
        <w:t>1</w:t>
      </w:r>
      <w:r w:rsidR="006E09B7">
        <w:t>.</w:t>
      </w:r>
      <w:r>
        <w:t xml:space="preserve"> </w:t>
      </w:r>
      <w:r w:rsidR="00ED540E">
        <w:t>siječnja</w:t>
      </w:r>
      <w:r w:rsidR="004C25A4">
        <w:t xml:space="preserve"> 202</w:t>
      </w:r>
      <w:r w:rsidR="00C75619">
        <w:t>2</w:t>
      </w:r>
      <w:r>
        <w:t>. godine</w:t>
      </w:r>
    </w:p>
    <w:p w:rsidR="00FD2865" w:rsidRDefault="00FD2865" w:rsidP="00FD2865">
      <w:pPr>
        <w:jc w:val="both"/>
      </w:pPr>
      <w:r w:rsidRPr="00B572A6">
        <w:t xml:space="preserve">  </w:t>
      </w:r>
    </w:p>
    <w:p w:rsidR="00FD2865" w:rsidRDefault="00FD2865" w:rsidP="00FD2865">
      <w:pPr>
        <w:ind w:left="5672"/>
        <w:jc w:val="both"/>
        <w:rPr>
          <w:b/>
        </w:rPr>
      </w:pPr>
    </w:p>
    <w:p w:rsidR="009F4759" w:rsidRDefault="009F4759" w:rsidP="00FD2865">
      <w:pPr>
        <w:ind w:left="5672"/>
        <w:jc w:val="both"/>
        <w:rPr>
          <w:b/>
        </w:rPr>
      </w:pPr>
    </w:p>
    <w:p w:rsidR="009F4759" w:rsidRDefault="009F4759" w:rsidP="009F4759">
      <w:pPr>
        <w:jc w:val="both"/>
        <w:rPr>
          <w:b/>
        </w:rPr>
      </w:pPr>
      <w:r>
        <w:rPr>
          <w:b/>
        </w:rPr>
        <w:tab/>
      </w:r>
      <w:r>
        <w:rPr>
          <w:b/>
        </w:rPr>
        <w:tab/>
      </w:r>
      <w:r>
        <w:rPr>
          <w:b/>
        </w:rPr>
        <w:tab/>
      </w:r>
      <w:r>
        <w:rPr>
          <w:b/>
        </w:rPr>
        <w:tab/>
      </w:r>
      <w:r>
        <w:rPr>
          <w:b/>
        </w:rPr>
        <w:tab/>
      </w:r>
      <w:r>
        <w:rPr>
          <w:b/>
        </w:rPr>
        <w:tab/>
        <w:t xml:space="preserve">          </w:t>
      </w:r>
      <w:r w:rsidR="00C75619">
        <w:rPr>
          <w:b/>
        </w:rPr>
        <w:t xml:space="preserve">       </w:t>
      </w:r>
      <w:r>
        <w:rPr>
          <w:b/>
        </w:rPr>
        <w:t xml:space="preserve">  DRŽAVN</w:t>
      </w:r>
      <w:r w:rsidR="00C75619">
        <w:rPr>
          <w:b/>
        </w:rPr>
        <w:t>I</w:t>
      </w:r>
      <w:r>
        <w:rPr>
          <w:b/>
        </w:rPr>
        <w:t xml:space="preserve">  TAJNIK</w:t>
      </w:r>
    </w:p>
    <w:p w:rsidR="009F4759" w:rsidRDefault="009F4759" w:rsidP="00FD2865">
      <w:pPr>
        <w:ind w:left="5672"/>
        <w:jc w:val="both"/>
        <w:rPr>
          <w:b/>
        </w:rPr>
      </w:pPr>
    </w:p>
    <w:p w:rsidR="009F4759" w:rsidRPr="006A02B8" w:rsidRDefault="009F4759" w:rsidP="00FD2865">
      <w:pPr>
        <w:ind w:left="5672"/>
        <w:jc w:val="both"/>
        <w:rPr>
          <w:b/>
        </w:rPr>
      </w:pPr>
    </w:p>
    <w:p w:rsidR="00FD2865" w:rsidRPr="006A02B8" w:rsidRDefault="009F4759" w:rsidP="006E09B7">
      <w:pPr>
        <w:jc w:val="both"/>
        <w:rPr>
          <w:b/>
        </w:rPr>
      </w:pPr>
      <w:r>
        <w:rPr>
          <w:b/>
        </w:rPr>
        <w:t xml:space="preserve"> </w:t>
      </w:r>
      <w:r>
        <w:rPr>
          <w:b/>
        </w:rPr>
        <w:tab/>
      </w:r>
      <w:r>
        <w:rPr>
          <w:b/>
        </w:rPr>
        <w:tab/>
      </w:r>
      <w:r>
        <w:rPr>
          <w:b/>
        </w:rPr>
        <w:tab/>
      </w:r>
      <w:r>
        <w:rPr>
          <w:b/>
        </w:rPr>
        <w:tab/>
      </w:r>
      <w:r>
        <w:rPr>
          <w:b/>
        </w:rPr>
        <w:tab/>
      </w:r>
      <w:r>
        <w:rPr>
          <w:b/>
        </w:rPr>
        <w:tab/>
        <w:t xml:space="preserve">            </w:t>
      </w:r>
      <w:r w:rsidR="00C75619">
        <w:rPr>
          <w:b/>
        </w:rPr>
        <w:t xml:space="preserve">          Gordan  Hanžek</w:t>
      </w:r>
    </w:p>
    <w:sectPr w:rsidR="00FD2865" w:rsidRPr="006A02B8" w:rsidSect="00012DE8">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0B" w:rsidRDefault="00170E0B" w:rsidP="00F61147">
      <w:r>
        <w:separator/>
      </w:r>
    </w:p>
  </w:endnote>
  <w:endnote w:type="continuationSeparator" w:id="0">
    <w:p w:rsidR="00170E0B" w:rsidRDefault="00170E0B" w:rsidP="00F6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720442"/>
      <w:docPartObj>
        <w:docPartGallery w:val="Page Numbers (Bottom of Page)"/>
        <w:docPartUnique/>
      </w:docPartObj>
    </w:sdtPr>
    <w:sdtEndPr/>
    <w:sdtContent>
      <w:p w:rsidR="00F61147" w:rsidRDefault="00F61147">
        <w:pPr>
          <w:pStyle w:val="Footer"/>
          <w:jc w:val="right"/>
        </w:pPr>
        <w:r>
          <w:fldChar w:fldCharType="begin"/>
        </w:r>
        <w:r>
          <w:instrText>PAGE   \* MERGEFORMAT</w:instrText>
        </w:r>
        <w:r>
          <w:fldChar w:fldCharType="separate"/>
        </w:r>
        <w:r w:rsidR="00A07404">
          <w:rPr>
            <w:noProof/>
          </w:rPr>
          <w:t>7</w:t>
        </w:r>
        <w:r>
          <w:fldChar w:fldCharType="end"/>
        </w:r>
      </w:p>
    </w:sdtContent>
  </w:sdt>
  <w:p w:rsidR="00F61147" w:rsidRDefault="00F61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0B" w:rsidRDefault="00170E0B" w:rsidP="00F61147">
      <w:r>
        <w:separator/>
      </w:r>
    </w:p>
  </w:footnote>
  <w:footnote w:type="continuationSeparator" w:id="0">
    <w:p w:rsidR="00170E0B" w:rsidRDefault="00170E0B" w:rsidP="00F61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43256"/>
    <w:multiLevelType w:val="hybridMultilevel"/>
    <w:tmpl w:val="65E69266"/>
    <w:lvl w:ilvl="0" w:tplc="D0C822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9D47D75"/>
    <w:multiLevelType w:val="hybridMultilevel"/>
    <w:tmpl w:val="79F2B0EC"/>
    <w:lvl w:ilvl="0" w:tplc="E70C4D5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2D5A04BA"/>
    <w:multiLevelType w:val="hybridMultilevel"/>
    <w:tmpl w:val="0014395A"/>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3845034"/>
    <w:multiLevelType w:val="hybridMultilevel"/>
    <w:tmpl w:val="3ECA4BB8"/>
    <w:lvl w:ilvl="0" w:tplc="B3CE5B26">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50767DA4"/>
    <w:multiLevelType w:val="hybridMultilevel"/>
    <w:tmpl w:val="B5446B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2505693"/>
    <w:multiLevelType w:val="hybridMultilevel"/>
    <w:tmpl w:val="65E69266"/>
    <w:lvl w:ilvl="0" w:tplc="D0C822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6871447"/>
    <w:multiLevelType w:val="hybridMultilevel"/>
    <w:tmpl w:val="9E8256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D242267"/>
    <w:multiLevelType w:val="hybridMultilevel"/>
    <w:tmpl w:val="65E69266"/>
    <w:lvl w:ilvl="0" w:tplc="D0C822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DB"/>
    <w:rsid w:val="00000AB7"/>
    <w:rsid w:val="00000CCC"/>
    <w:rsid w:val="0000678A"/>
    <w:rsid w:val="0000748A"/>
    <w:rsid w:val="000103C8"/>
    <w:rsid w:val="00010CE9"/>
    <w:rsid w:val="00012DE8"/>
    <w:rsid w:val="00015B93"/>
    <w:rsid w:val="000230F2"/>
    <w:rsid w:val="000253BB"/>
    <w:rsid w:val="0002691A"/>
    <w:rsid w:val="00030058"/>
    <w:rsid w:val="00032D92"/>
    <w:rsid w:val="0003771E"/>
    <w:rsid w:val="00037FDA"/>
    <w:rsid w:val="00046CB9"/>
    <w:rsid w:val="00047CEB"/>
    <w:rsid w:val="0005002B"/>
    <w:rsid w:val="000522C7"/>
    <w:rsid w:val="00053190"/>
    <w:rsid w:val="00074CE3"/>
    <w:rsid w:val="000805C5"/>
    <w:rsid w:val="0008227C"/>
    <w:rsid w:val="000843CB"/>
    <w:rsid w:val="000846C4"/>
    <w:rsid w:val="00087E5B"/>
    <w:rsid w:val="00087F74"/>
    <w:rsid w:val="00090C35"/>
    <w:rsid w:val="00096035"/>
    <w:rsid w:val="00097BC3"/>
    <w:rsid w:val="000A7B34"/>
    <w:rsid w:val="000B34AA"/>
    <w:rsid w:val="000C1190"/>
    <w:rsid w:val="000C2CF3"/>
    <w:rsid w:val="000C39CE"/>
    <w:rsid w:val="000C616D"/>
    <w:rsid w:val="000D01F9"/>
    <w:rsid w:val="000D0985"/>
    <w:rsid w:val="000D0C12"/>
    <w:rsid w:val="000D6FDD"/>
    <w:rsid w:val="000E078A"/>
    <w:rsid w:val="000E4AFA"/>
    <w:rsid w:val="000F02CC"/>
    <w:rsid w:val="000F1F9A"/>
    <w:rsid w:val="000F20F1"/>
    <w:rsid w:val="000F2EC6"/>
    <w:rsid w:val="000F2F71"/>
    <w:rsid w:val="000F433A"/>
    <w:rsid w:val="000F452A"/>
    <w:rsid w:val="001024E5"/>
    <w:rsid w:val="001055F6"/>
    <w:rsid w:val="00105F98"/>
    <w:rsid w:val="00111422"/>
    <w:rsid w:val="001133F3"/>
    <w:rsid w:val="00114937"/>
    <w:rsid w:val="00117B0C"/>
    <w:rsid w:val="00132805"/>
    <w:rsid w:val="00132B97"/>
    <w:rsid w:val="00136A7C"/>
    <w:rsid w:val="00140064"/>
    <w:rsid w:val="00144C23"/>
    <w:rsid w:val="00145885"/>
    <w:rsid w:val="00152A57"/>
    <w:rsid w:val="00154926"/>
    <w:rsid w:val="00155FB2"/>
    <w:rsid w:val="001666C1"/>
    <w:rsid w:val="00170146"/>
    <w:rsid w:val="00170E0B"/>
    <w:rsid w:val="00172449"/>
    <w:rsid w:val="001730D5"/>
    <w:rsid w:val="0017519C"/>
    <w:rsid w:val="00175888"/>
    <w:rsid w:val="00176F57"/>
    <w:rsid w:val="001815C8"/>
    <w:rsid w:val="001817BC"/>
    <w:rsid w:val="00183D10"/>
    <w:rsid w:val="001935CC"/>
    <w:rsid w:val="001A0751"/>
    <w:rsid w:val="001A2112"/>
    <w:rsid w:val="001A2D89"/>
    <w:rsid w:val="001A35B7"/>
    <w:rsid w:val="001A6718"/>
    <w:rsid w:val="001B3BB7"/>
    <w:rsid w:val="001B3BD0"/>
    <w:rsid w:val="001B3FDC"/>
    <w:rsid w:val="001B5DA4"/>
    <w:rsid w:val="001B6B22"/>
    <w:rsid w:val="001B7741"/>
    <w:rsid w:val="001C2F49"/>
    <w:rsid w:val="001D10DA"/>
    <w:rsid w:val="001D4219"/>
    <w:rsid w:val="001D5254"/>
    <w:rsid w:val="001D5EEB"/>
    <w:rsid w:val="001E2575"/>
    <w:rsid w:val="001F055F"/>
    <w:rsid w:val="002004F6"/>
    <w:rsid w:val="00201C27"/>
    <w:rsid w:val="00202225"/>
    <w:rsid w:val="00202F20"/>
    <w:rsid w:val="002072B0"/>
    <w:rsid w:val="00212DEB"/>
    <w:rsid w:val="00222D73"/>
    <w:rsid w:val="00231CA6"/>
    <w:rsid w:val="002405D9"/>
    <w:rsid w:val="002450FB"/>
    <w:rsid w:val="0024572F"/>
    <w:rsid w:val="00250061"/>
    <w:rsid w:val="002571C0"/>
    <w:rsid w:val="00260D34"/>
    <w:rsid w:val="00263176"/>
    <w:rsid w:val="0026534F"/>
    <w:rsid w:val="00266DFE"/>
    <w:rsid w:val="00270117"/>
    <w:rsid w:val="00270E32"/>
    <w:rsid w:val="00274CB8"/>
    <w:rsid w:val="00275C16"/>
    <w:rsid w:val="00275FB6"/>
    <w:rsid w:val="0028110F"/>
    <w:rsid w:val="00283F27"/>
    <w:rsid w:val="00286624"/>
    <w:rsid w:val="00293939"/>
    <w:rsid w:val="00296E54"/>
    <w:rsid w:val="00296F6E"/>
    <w:rsid w:val="00297955"/>
    <w:rsid w:val="002A7BD8"/>
    <w:rsid w:val="002B3972"/>
    <w:rsid w:val="002B39DC"/>
    <w:rsid w:val="002B6CE0"/>
    <w:rsid w:val="002C1706"/>
    <w:rsid w:val="002C32C3"/>
    <w:rsid w:val="002C3A9E"/>
    <w:rsid w:val="002C5345"/>
    <w:rsid w:val="002C5A3D"/>
    <w:rsid w:val="002C6FFD"/>
    <w:rsid w:val="002D3B3E"/>
    <w:rsid w:val="002D57CB"/>
    <w:rsid w:val="002E04C8"/>
    <w:rsid w:val="002E1897"/>
    <w:rsid w:val="002E1A1D"/>
    <w:rsid w:val="002E3549"/>
    <w:rsid w:val="002F2C9C"/>
    <w:rsid w:val="002F4FCC"/>
    <w:rsid w:val="002F7A9E"/>
    <w:rsid w:val="00300934"/>
    <w:rsid w:val="00305D9B"/>
    <w:rsid w:val="00316387"/>
    <w:rsid w:val="003211A5"/>
    <w:rsid w:val="0032186F"/>
    <w:rsid w:val="00323554"/>
    <w:rsid w:val="00325BE0"/>
    <w:rsid w:val="003344B4"/>
    <w:rsid w:val="00345094"/>
    <w:rsid w:val="00347236"/>
    <w:rsid w:val="00347DC3"/>
    <w:rsid w:val="00352264"/>
    <w:rsid w:val="0035769D"/>
    <w:rsid w:val="00360944"/>
    <w:rsid w:val="003614ED"/>
    <w:rsid w:val="003642D5"/>
    <w:rsid w:val="003735CC"/>
    <w:rsid w:val="00374C80"/>
    <w:rsid w:val="0037572C"/>
    <w:rsid w:val="00381D39"/>
    <w:rsid w:val="00384E72"/>
    <w:rsid w:val="00394653"/>
    <w:rsid w:val="00397A43"/>
    <w:rsid w:val="003A5D59"/>
    <w:rsid w:val="003A6462"/>
    <w:rsid w:val="003A7238"/>
    <w:rsid w:val="003A72FF"/>
    <w:rsid w:val="003A7A06"/>
    <w:rsid w:val="003B1143"/>
    <w:rsid w:val="003C1018"/>
    <w:rsid w:val="003C33F3"/>
    <w:rsid w:val="003C51E2"/>
    <w:rsid w:val="003D0F74"/>
    <w:rsid w:val="003D7343"/>
    <w:rsid w:val="003E14A6"/>
    <w:rsid w:val="003E4D5D"/>
    <w:rsid w:val="003F1ECB"/>
    <w:rsid w:val="003F3004"/>
    <w:rsid w:val="003F36F0"/>
    <w:rsid w:val="003F482F"/>
    <w:rsid w:val="003F77D2"/>
    <w:rsid w:val="004005BE"/>
    <w:rsid w:val="0040397C"/>
    <w:rsid w:val="004158DD"/>
    <w:rsid w:val="00420568"/>
    <w:rsid w:val="0042238E"/>
    <w:rsid w:val="00423355"/>
    <w:rsid w:val="00423EF0"/>
    <w:rsid w:val="004252E3"/>
    <w:rsid w:val="00426252"/>
    <w:rsid w:val="00426B16"/>
    <w:rsid w:val="00430087"/>
    <w:rsid w:val="00430CC2"/>
    <w:rsid w:val="004361DF"/>
    <w:rsid w:val="0043751E"/>
    <w:rsid w:val="00444A48"/>
    <w:rsid w:val="00445513"/>
    <w:rsid w:val="0044740F"/>
    <w:rsid w:val="00450293"/>
    <w:rsid w:val="00450327"/>
    <w:rsid w:val="00460D00"/>
    <w:rsid w:val="00461F3F"/>
    <w:rsid w:val="00462A6D"/>
    <w:rsid w:val="0047619C"/>
    <w:rsid w:val="004770DE"/>
    <w:rsid w:val="00477875"/>
    <w:rsid w:val="004879D2"/>
    <w:rsid w:val="0049215D"/>
    <w:rsid w:val="00492AB9"/>
    <w:rsid w:val="00496400"/>
    <w:rsid w:val="00497F10"/>
    <w:rsid w:val="004A155A"/>
    <w:rsid w:val="004A2339"/>
    <w:rsid w:val="004A49C0"/>
    <w:rsid w:val="004B1AEA"/>
    <w:rsid w:val="004B2ED9"/>
    <w:rsid w:val="004B4396"/>
    <w:rsid w:val="004B4BE1"/>
    <w:rsid w:val="004B6682"/>
    <w:rsid w:val="004B71B2"/>
    <w:rsid w:val="004C25A4"/>
    <w:rsid w:val="004C27FE"/>
    <w:rsid w:val="004C3B19"/>
    <w:rsid w:val="004C47EC"/>
    <w:rsid w:val="004C4C73"/>
    <w:rsid w:val="004C5683"/>
    <w:rsid w:val="004D5203"/>
    <w:rsid w:val="004D5C13"/>
    <w:rsid w:val="004E0152"/>
    <w:rsid w:val="004E1BA5"/>
    <w:rsid w:val="004E338C"/>
    <w:rsid w:val="004E60D3"/>
    <w:rsid w:val="004E7B95"/>
    <w:rsid w:val="004F1F51"/>
    <w:rsid w:val="004F385A"/>
    <w:rsid w:val="00500769"/>
    <w:rsid w:val="005046E2"/>
    <w:rsid w:val="00506F36"/>
    <w:rsid w:val="0051156B"/>
    <w:rsid w:val="0051552A"/>
    <w:rsid w:val="00523051"/>
    <w:rsid w:val="005250B6"/>
    <w:rsid w:val="00526A09"/>
    <w:rsid w:val="00527C2C"/>
    <w:rsid w:val="005330C4"/>
    <w:rsid w:val="005342A8"/>
    <w:rsid w:val="005379E7"/>
    <w:rsid w:val="00545DE1"/>
    <w:rsid w:val="00546BA5"/>
    <w:rsid w:val="0054720F"/>
    <w:rsid w:val="005478C1"/>
    <w:rsid w:val="00550B97"/>
    <w:rsid w:val="00550C22"/>
    <w:rsid w:val="00553762"/>
    <w:rsid w:val="0055511C"/>
    <w:rsid w:val="00556E09"/>
    <w:rsid w:val="00565EB4"/>
    <w:rsid w:val="00571185"/>
    <w:rsid w:val="00572488"/>
    <w:rsid w:val="00572CFF"/>
    <w:rsid w:val="00581946"/>
    <w:rsid w:val="005841BC"/>
    <w:rsid w:val="00587046"/>
    <w:rsid w:val="00593A55"/>
    <w:rsid w:val="005A05AD"/>
    <w:rsid w:val="005A1075"/>
    <w:rsid w:val="005A5AD1"/>
    <w:rsid w:val="005A5EE9"/>
    <w:rsid w:val="005B4A0B"/>
    <w:rsid w:val="005B624C"/>
    <w:rsid w:val="005C0F6A"/>
    <w:rsid w:val="005C7B73"/>
    <w:rsid w:val="005C7EBA"/>
    <w:rsid w:val="005D0336"/>
    <w:rsid w:val="005D0E74"/>
    <w:rsid w:val="005D1D0F"/>
    <w:rsid w:val="005D2AA2"/>
    <w:rsid w:val="005D4AFB"/>
    <w:rsid w:val="005D5CB5"/>
    <w:rsid w:val="005E640D"/>
    <w:rsid w:val="005F275F"/>
    <w:rsid w:val="005F36E4"/>
    <w:rsid w:val="005F40FF"/>
    <w:rsid w:val="006045DE"/>
    <w:rsid w:val="00605E79"/>
    <w:rsid w:val="0060611F"/>
    <w:rsid w:val="00607A68"/>
    <w:rsid w:val="006114E5"/>
    <w:rsid w:val="0061313C"/>
    <w:rsid w:val="00614FFA"/>
    <w:rsid w:val="00615466"/>
    <w:rsid w:val="00617CB9"/>
    <w:rsid w:val="00617F0D"/>
    <w:rsid w:val="00620ECE"/>
    <w:rsid w:val="00627466"/>
    <w:rsid w:val="00632BC7"/>
    <w:rsid w:val="00634F54"/>
    <w:rsid w:val="00636067"/>
    <w:rsid w:val="0063610E"/>
    <w:rsid w:val="006367BC"/>
    <w:rsid w:val="00637B4F"/>
    <w:rsid w:val="0064316D"/>
    <w:rsid w:val="00647570"/>
    <w:rsid w:val="006526BF"/>
    <w:rsid w:val="006572E0"/>
    <w:rsid w:val="00657418"/>
    <w:rsid w:val="00657B9C"/>
    <w:rsid w:val="00660206"/>
    <w:rsid w:val="00663A02"/>
    <w:rsid w:val="00667E8C"/>
    <w:rsid w:val="006738CE"/>
    <w:rsid w:val="006771E7"/>
    <w:rsid w:val="00677458"/>
    <w:rsid w:val="006827C4"/>
    <w:rsid w:val="00682E6B"/>
    <w:rsid w:val="006830C0"/>
    <w:rsid w:val="00685330"/>
    <w:rsid w:val="00690674"/>
    <w:rsid w:val="006938A4"/>
    <w:rsid w:val="0069696F"/>
    <w:rsid w:val="006A02B8"/>
    <w:rsid w:val="006A37DE"/>
    <w:rsid w:val="006A4100"/>
    <w:rsid w:val="006A44AE"/>
    <w:rsid w:val="006A621C"/>
    <w:rsid w:val="006A65D2"/>
    <w:rsid w:val="006A67CC"/>
    <w:rsid w:val="006B0400"/>
    <w:rsid w:val="006B0962"/>
    <w:rsid w:val="006B0B94"/>
    <w:rsid w:val="006B1E57"/>
    <w:rsid w:val="006B3528"/>
    <w:rsid w:val="006B56CC"/>
    <w:rsid w:val="006D0153"/>
    <w:rsid w:val="006D66CF"/>
    <w:rsid w:val="006E09B7"/>
    <w:rsid w:val="006E0C26"/>
    <w:rsid w:val="006E1CA2"/>
    <w:rsid w:val="006E653B"/>
    <w:rsid w:val="006E6EB6"/>
    <w:rsid w:val="006F050D"/>
    <w:rsid w:val="006F502E"/>
    <w:rsid w:val="00700EB7"/>
    <w:rsid w:val="00701165"/>
    <w:rsid w:val="00706D3A"/>
    <w:rsid w:val="007101C3"/>
    <w:rsid w:val="00714AA7"/>
    <w:rsid w:val="0072643A"/>
    <w:rsid w:val="007272A2"/>
    <w:rsid w:val="00730A4B"/>
    <w:rsid w:val="00730AA8"/>
    <w:rsid w:val="00736AF7"/>
    <w:rsid w:val="00741436"/>
    <w:rsid w:val="00745103"/>
    <w:rsid w:val="00745AA6"/>
    <w:rsid w:val="00747E96"/>
    <w:rsid w:val="00751B3D"/>
    <w:rsid w:val="00761A4A"/>
    <w:rsid w:val="00762332"/>
    <w:rsid w:val="00762AFA"/>
    <w:rsid w:val="007651F9"/>
    <w:rsid w:val="00765250"/>
    <w:rsid w:val="0077319F"/>
    <w:rsid w:val="007749CA"/>
    <w:rsid w:val="0077697D"/>
    <w:rsid w:val="007826B1"/>
    <w:rsid w:val="0079303B"/>
    <w:rsid w:val="00796EDB"/>
    <w:rsid w:val="007A024D"/>
    <w:rsid w:val="007A26FB"/>
    <w:rsid w:val="007A2921"/>
    <w:rsid w:val="007A427B"/>
    <w:rsid w:val="007A47B7"/>
    <w:rsid w:val="007A5EB1"/>
    <w:rsid w:val="007B3DA4"/>
    <w:rsid w:val="007C2BEA"/>
    <w:rsid w:val="007C3054"/>
    <w:rsid w:val="007C3E19"/>
    <w:rsid w:val="007C478D"/>
    <w:rsid w:val="007C675F"/>
    <w:rsid w:val="007E080B"/>
    <w:rsid w:val="007E164C"/>
    <w:rsid w:val="007E23C2"/>
    <w:rsid w:val="007E3FB8"/>
    <w:rsid w:val="007E53C3"/>
    <w:rsid w:val="007E7C34"/>
    <w:rsid w:val="007F16D7"/>
    <w:rsid w:val="007F1D99"/>
    <w:rsid w:val="007F6B9D"/>
    <w:rsid w:val="007F747F"/>
    <w:rsid w:val="007F7855"/>
    <w:rsid w:val="00807FB6"/>
    <w:rsid w:val="0081330C"/>
    <w:rsid w:val="00822FE0"/>
    <w:rsid w:val="0082423C"/>
    <w:rsid w:val="0082578A"/>
    <w:rsid w:val="00825FAE"/>
    <w:rsid w:val="0083326A"/>
    <w:rsid w:val="008367AE"/>
    <w:rsid w:val="0083710C"/>
    <w:rsid w:val="00837C08"/>
    <w:rsid w:val="00837EC8"/>
    <w:rsid w:val="00837F21"/>
    <w:rsid w:val="00841F91"/>
    <w:rsid w:val="00842DBD"/>
    <w:rsid w:val="00843BD5"/>
    <w:rsid w:val="00845814"/>
    <w:rsid w:val="00853ED2"/>
    <w:rsid w:val="0085731E"/>
    <w:rsid w:val="00857AA7"/>
    <w:rsid w:val="00862405"/>
    <w:rsid w:val="008640C5"/>
    <w:rsid w:val="00871A30"/>
    <w:rsid w:val="00875CB5"/>
    <w:rsid w:val="00877D9B"/>
    <w:rsid w:val="0088035F"/>
    <w:rsid w:val="00880AC8"/>
    <w:rsid w:val="008818E9"/>
    <w:rsid w:val="00881BFA"/>
    <w:rsid w:val="00882CF0"/>
    <w:rsid w:val="008834A0"/>
    <w:rsid w:val="00884F99"/>
    <w:rsid w:val="00886291"/>
    <w:rsid w:val="0088714B"/>
    <w:rsid w:val="00887304"/>
    <w:rsid w:val="0089301D"/>
    <w:rsid w:val="00894E1A"/>
    <w:rsid w:val="008A0B20"/>
    <w:rsid w:val="008A36F9"/>
    <w:rsid w:val="008A6741"/>
    <w:rsid w:val="008B4B82"/>
    <w:rsid w:val="008C566F"/>
    <w:rsid w:val="008C61C7"/>
    <w:rsid w:val="008C6AE7"/>
    <w:rsid w:val="008D0AAA"/>
    <w:rsid w:val="008D285F"/>
    <w:rsid w:val="008D38A0"/>
    <w:rsid w:val="008D40FB"/>
    <w:rsid w:val="008D678B"/>
    <w:rsid w:val="008E4D48"/>
    <w:rsid w:val="008E5468"/>
    <w:rsid w:val="008F014D"/>
    <w:rsid w:val="008F1730"/>
    <w:rsid w:val="008F5247"/>
    <w:rsid w:val="008F5ED8"/>
    <w:rsid w:val="008F602D"/>
    <w:rsid w:val="00900AC6"/>
    <w:rsid w:val="0090199E"/>
    <w:rsid w:val="0090375F"/>
    <w:rsid w:val="00911241"/>
    <w:rsid w:val="0091210A"/>
    <w:rsid w:val="00914E76"/>
    <w:rsid w:val="00916BC7"/>
    <w:rsid w:val="00916FCF"/>
    <w:rsid w:val="00926785"/>
    <w:rsid w:val="00926F07"/>
    <w:rsid w:val="009325CE"/>
    <w:rsid w:val="00932E88"/>
    <w:rsid w:val="009400C2"/>
    <w:rsid w:val="00942D88"/>
    <w:rsid w:val="00942F9D"/>
    <w:rsid w:val="00946A7B"/>
    <w:rsid w:val="00947FC9"/>
    <w:rsid w:val="009506AD"/>
    <w:rsid w:val="00953B1A"/>
    <w:rsid w:val="009541A2"/>
    <w:rsid w:val="009609FB"/>
    <w:rsid w:val="00963B90"/>
    <w:rsid w:val="00964D65"/>
    <w:rsid w:val="00964FF9"/>
    <w:rsid w:val="00966179"/>
    <w:rsid w:val="009662EA"/>
    <w:rsid w:val="009669DC"/>
    <w:rsid w:val="00967B8B"/>
    <w:rsid w:val="00971EAE"/>
    <w:rsid w:val="00973BF1"/>
    <w:rsid w:val="0097562B"/>
    <w:rsid w:val="00976303"/>
    <w:rsid w:val="009837C0"/>
    <w:rsid w:val="00987275"/>
    <w:rsid w:val="00987709"/>
    <w:rsid w:val="00990BFB"/>
    <w:rsid w:val="00992024"/>
    <w:rsid w:val="00992AF1"/>
    <w:rsid w:val="00995EA0"/>
    <w:rsid w:val="0099681A"/>
    <w:rsid w:val="009A1AC3"/>
    <w:rsid w:val="009A7C16"/>
    <w:rsid w:val="009C0113"/>
    <w:rsid w:val="009C553D"/>
    <w:rsid w:val="009D3573"/>
    <w:rsid w:val="009D485C"/>
    <w:rsid w:val="009E1256"/>
    <w:rsid w:val="009E57F5"/>
    <w:rsid w:val="009F2883"/>
    <w:rsid w:val="009F4759"/>
    <w:rsid w:val="00A01085"/>
    <w:rsid w:val="00A03FE4"/>
    <w:rsid w:val="00A05D33"/>
    <w:rsid w:val="00A07404"/>
    <w:rsid w:val="00A105FA"/>
    <w:rsid w:val="00A204EC"/>
    <w:rsid w:val="00A24724"/>
    <w:rsid w:val="00A26A53"/>
    <w:rsid w:val="00A36EAD"/>
    <w:rsid w:val="00A3742E"/>
    <w:rsid w:val="00A443DB"/>
    <w:rsid w:val="00A53CCC"/>
    <w:rsid w:val="00A5656C"/>
    <w:rsid w:val="00A62501"/>
    <w:rsid w:val="00A642E4"/>
    <w:rsid w:val="00A71DD4"/>
    <w:rsid w:val="00A72C30"/>
    <w:rsid w:val="00A74B50"/>
    <w:rsid w:val="00A8067D"/>
    <w:rsid w:val="00A81F64"/>
    <w:rsid w:val="00A85502"/>
    <w:rsid w:val="00A871E2"/>
    <w:rsid w:val="00A87708"/>
    <w:rsid w:val="00A90BA6"/>
    <w:rsid w:val="00A977F3"/>
    <w:rsid w:val="00AA0343"/>
    <w:rsid w:val="00AA105D"/>
    <w:rsid w:val="00AA117B"/>
    <w:rsid w:val="00AA4567"/>
    <w:rsid w:val="00AA56CA"/>
    <w:rsid w:val="00AA756B"/>
    <w:rsid w:val="00AB4DD3"/>
    <w:rsid w:val="00AB4E96"/>
    <w:rsid w:val="00AB76FB"/>
    <w:rsid w:val="00AC518B"/>
    <w:rsid w:val="00AC5AA4"/>
    <w:rsid w:val="00AD208E"/>
    <w:rsid w:val="00AD5D62"/>
    <w:rsid w:val="00AD63C9"/>
    <w:rsid w:val="00AE0339"/>
    <w:rsid w:val="00AE3F13"/>
    <w:rsid w:val="00AE6822"/>
    <w:rsid w:val="00AE7BC1"/>
    <w:rsid w:val="00AF605B"/>
    <w:rsid w:val="00AF661A"/>
    <w:rsid w:val="00AF6D43"/>
    <w:rsid w:val="00B07857"/>
    <w:rsid w:val="00B148FB"/>
    <w:rsid w:val="00B17411"/>
    <w:rsid w:val="00B304E7"/>
    <w:rsid w:val="00B30709"/>
    <w:rsid w:val="00B30D49"/>
    <w:rsid w:val="00B35BF0"/>
    <w:rsid w:val="00B37E67"/>
    <w:rsid w:val="00B40A4E"/>
    <w:rsid w:val="00B4163C"/>
    <w:rsid w:val="00B426B1"/>
    <w:rsid w:val="00B42751"/>
    <w:rsid w:val="00B4508C"/>
    <w:rsid w:val="00B455FC"/>
    <w:rsid w:val="00B45DFE"/>
    <w:rsid w:val="00B465C7"/>
    <w:rsid w:val="00B56017"/>
    <w:rsid w:val="00B57E97"/>
    <w:rsid w:val="00B61BFA"/>
    <w:rsid w:val="00B674C9"/>
    <w:rsid w:val="00B67719"/>
    <w:rsid w:val="00B720DC"/>
    <w:rsid w:val="00B7747A"/>
    <w:rsid w:val="00B77FB4"/>
    <w:rsid w:val="00B80D29"/>
    <w:rsid w:val="00B82C65"/>
    <w:rsid w:val="00B86AB9"/>
    <w:rsid w:val="00B87E6B"/>
    <w:rsid w:val="00B93A6C"/>
    <w:rsid w:val="00B940A1"/>
    <w:rsid w:val="00BA04CE"/>
    <w:rsid w:val="00BA38E2"/>
    <w:rsid w:val="00BA50D7"/>
    <w:rsid w:val="00BA5B1A"/>
    <w:rsid w:val="00BA7163"/>
    <w:rsid w:val="00BB2298"/>
    <w:rsid w:val="00BB3C3F"/>
    <w:rsid w:val="00BB41EF"/>
    <w:rsid w:val="00BC13AF"/>
    <w:rsid w:val="00BC28CE"/>
    <w:rsid w:val="00BC384B"/>
    <w:rsid w:val="00BC5E52"/>
    <w:rsid w:val="00BC6AD7"/>
    <w:rsid w:val="00BD3C4A"/>
    <w:rsid w:val="00BD4E86"/>
    <w:rsid w:val="00BE2C09"/>
    <w:rsid w:val="00BE3C3B"/>
    <w:rsid w:val="00BE4592"/>
    <w:rsid w:val="00BE6041"/>
    <w:rsid w:val="00BE7DF6"/>
    <w:rsid w:val="00BF257D"/>
    <w:rsid w:val="00C000C7"/>
    <w:rsid w:val="00C01EC4"/>
    <w:rsid w:val="00C023EB"/>
    <w:rsid w:val="00C05C9B"/>
    <w:rsid w:val="00C14069"/>
    <w:rsid w:val="00C16DE2"/>
    <w:rsid w:val="00C21FA3"/>
    <w:rsid w:val="00C222E6"/>
    <w:rsid w:val="00C25579"/>
    <w:rsid w:val="00C25F99"/>
    <w:rsid w:val="00C26BC3"/>
    <w:rsid w:val="00C42660"/>
    <w:rsid w:val="00C44C6A"/>
    <w:rsid w:val="00C45490"/>
    <w:rsid w:val="00C460DB"/>
    <w:rsid w:val="00C46B69"/>
    <w:rsid w:val="00C545D1"/>
    <w:rsid w:val="00C54811"/>
    <w:rsid w:val="00C635BE"/>
    <w:rsid w:val="00C63E3E"/>
    <w:rsid w:val="00C643BF"/>
    <w:rsid w:val="00C75619"/>
    <w:rsid w:val="00C7561A"/>
    <w:rsid w:val="00C75FC5"/>
    <w:rsid w:val="00C772EE"/>
    <w:rsid w:val="00C812CC"/>
    <w:rsid w:val="00C81BE9"/>
    <w:rsid w:val="00C83370"/>
    <w:rsid w:val="00C85735"/>
    <w:rsid w:val="00C92887"/>
    <w:rsid w:val="00C96170"/>
    <w:rsid w:val="00C9688B"/>
    <w:rsid w:val="00CA0AE6"/>
    <w:rsid w:val="00CB2087"/>
    <w:rsid w:val="00CB2D13"/>
    <w:rsid w:val="00CB3127"/>
    <w:rsid w:val="00CB37AD"/>
    <w:rsid w:val="00CB5C3A"/>
    <w:rsid w:val="00CB7E41"/>
    <w:rsid w:val="00CC650B"/>
    <w:rsid w:val="00CC791E"/>
    <w:rsid w:val="00CD3203"/>
    <w:rsid w:val="00CE00AA"/>
    <w:rsid w:val="00CE6CD3"/>
    <w:rsid w:val="00CF1227"/>
    <w:rsid w:val="00CF2E0A"/>
    <w:rsid w:val="00CF3099"/>
    <w:rsid w:val="00CF5511"/>
    <w:rsid w:val="00CF5CD4"/>
    <w:rsid w:val="00CF68C6"/>
    <w:rsid w:val="00D0180D"/>
    <w:rsid w:val="00D04AE3"/>
    <w:rsid w:val="00D076B3"/>
    <w:rsid w:val="00D11C5B"/>
    <w:rsid w:val="00D1698C"/>
    <w:rsid w:val="00D23040"/>
    <w:rsid w:val="00D30FF7"/>
    <w:rsid w:val="00D339CB"/>
    <w:rsid w:val="00D34055"/>
    <w:rsid w:val="00D3465A"/>
    <w:rsid w:val="00D34CA0"/>
    <w:rsid w:val="00D3634D"/>
    <w:rsid w:val="00D407D1"/>
    <w:rsid w:val="00D411DF"/>
    <w:rsid w:val="00D436E8"/>
    <w:rsid w:val="00D4418F"/>
    <w:rsid w:val="00D45A0D"/>
    <w:rsid w:val="00D5009A"/>
    <w:rsid w:val="00D549AB"/>
    <w:rsid w:val="00D5501A"/>
    <w:rsid w:val="00D556C5"/>
    <w:rsid w:val="00D55B30"/>
    <w:rsid w:val="00D6076F"/>
    <w:rsid w:val="00D639DE"/>
    <w:rsid w:val="00D6748A"/>
    <w:rsid w:val="00D71127"/>
    <w:rsid w:val="00D74659"/>
    <w:rsid w:val="00D7520C"/>
    <w:rsid w:val="00D801E4"/>
    <w:rsid w:val="00D81DC1"/>
    <w:rsid w:val="00D82811"/>
    <w:rsid w:val="00D90B76"/>
    <w:rsid w:val="00D90C24"/>
    <w:rsid w:val="00D94558"/>
    <w:rsid w:val="00D954E3"/>
    <w:rsid w:val="00D95833"/>
    <w:rsid w:val="00D965A9"/>
    <w:rsid w:val="00D97455"/>
    <w:rsid w:val="00DA2FD9"/>
    <w:rsid w:val="00DA43CA"/>
    <w:rsid w:val="00DA5F23"/>
    <w:rsid w:val="00DB2053"/>
    <w:rsid w:val="00DC273B"/>
    <w:rsid w:val="00DC74D0"/>
    <w:rsid w:val="00DD22E2"/>
    <w:rsid w:val="00DD7C55"/>
    <w:rsid w:val="00DE0220"/>
    <w:rsid w:val="00DE6A0A"/>
    <w:rsid w:val="00DF286F"/>
    <w:rsid w:val="00DF4009"/>
    <w:rsid w:val="00DF526D"/>
    <w:rsid w:val="00DF6EFD"/>
    <w:rsid w:val="00DF7366"/>
    <w:rsid w:val="00E00B2F"/>
    <w:rsid w:val="00E03096"/>
    <w:rsid w:val="00E031DD"/>
    <w:rsid w:val="00E05313"/>
    <w:rsid w:val="00E06720"/>
    <w:rsid w:val="00E10D7B"/>
    <w:rsid w:val="00E1189E"/>
    <w:rsid w:val="00E11B23"/>
    <w:rsid w:val="00E12411"/>
    <w:rsid w:val="00E12C8B"/>
    <w:rsid w:val="00E16215"/>
    <w:rsid w:val="00E1729C"/>
    <w:rsid w:val="00E207DC"/>
    <w:rsid w:val="00E20DCC"/>
    <w:rsid w:val="00E23983"/>
    <w:rsid w:val="00E32646"/>
    <w:rsid w:val="00E344C8"/>
    <w:rsid w:val="00E3602A"/>
    <w:rsid w:val="00E37093"/>
    <w:rsid w:val="00E44C5F"/>
    <w:rsid w:val="00E513EA"/>
    <w:rsid w:val="00E51A54"/>
    <w:rsid w:val="00E54F15"/>
    <w:rsid w:val="00E57157"/>
    <w:rsid w:val="00E6097A"/>
    <w:rsid w:val="00E60F20"/>
    <w:rsid w:val="00E60FBA"/>
    <w:rsid w:val="00E62070"/>
    <w:rsid w:val="00E62AA3"/>
    <w:rsid w:val="00E63C72"/>
    <w:rsid w:val="00E662D0"/>
    <w:rsid w:val="00E751D7"/>
    <w:rsid w:val="00E7580D"/>
    <w:rsid w:val="00E769C8"/>
    <w:rsid w:val="00E8129C"/>
    <w:rsid w:val="00E8591E"/>
    <w:rsid w:val="00E93719"/>
    <w:rsid w:val="00EA20E3"/>
    <w:rsid w:val="00EA41C5"/>
    <w:rsid w:val="00EA4CC3"/>
    <w:rsid w:val="00EA6159"/>
    <w:rsid w:val="00EA7B0F"/>
    <w:rsid w:val="00EB0F14"/>
    <w:rsid w:val="00EB41D8"/>
    <w:rsid w:val="00EB5779"/>
    <w:rsid w:val="00EC251D"/>
    <w:rsid w:val="00ED106D"/>
    <w:rsid w:val="00ED2831"/>
    <w:rsid w:val="00ED2AC7"/>
    <w:rsid w:val="00ED50CD"/>
    <w:rsid w:val="00ED540E"/>
    <w:rsid w:val="00ED5F3F"/>
    <w:rsid w:val="00ED7CC9"/>
    <w:rsid w:val="00EE437D"/>
    <w:rsid w:val="00EE5B2C"/>
    <w:rsid w:val="00EE5E65"/>
    <w:rsid w:val="00EF0752"/>
    <w:rsid w:val="00EF234A"/>
    <w:rsid w:val="00EF71B6"/>
    <w:rsid w:val="00F02812"/>
    <w:rsid w:val="00F02F4C"/>
    <w:rsid w:val="00F03148"/>
    <w:rsid w:val="00F0633F"/>
    <w:rsid w:val="00F1092E"/>
    <w:rsid w:val="00F14316"/>
    <w:rsid w:val="00F14CD4"/>
    <w:rsid w:val="00F15503"/>
    <w:rsid w:val="00F15B4C"/>
    <w:rsid w:val="00F164D2"/>
    <w:rsid w:val="00F16F85"/>
    <w:rsid w:val="00F1721E"/>
    <w:rsid w:val="00F2242B"/>
    <w:rsid w:val="00F2379D"/>
    <w:rsid w:val="00F24BC4"/>
    <w:rsid w:val="00F26430"/>
    <w:rsid w:val="00F274E8"/>
    <w:rsid w:val="00F31FFB"/>
    <w:rsid w:val="00F33890"/>
    <w:rsid w:val="00F41611"/>
    <w:rsid w:val="00F537F0"/>
    <w:rsid w:val="00F53DC2"/>
    <w:rsid w:val="00F5668A"/>
    <w:rsid w:val="00F569A6"/>
    <w:rsid w:val="00F60572"/>
    <w:rsid w:val="00F61147"/>
    <w:rsid w:val="00F6421C"/>
    <w:rsid w:val="00F649CE"/>
    <w:rsid w:val="00F673B1"/>
    <w:rsid w:val="00F73D9D"/>
    <w:rsid w:val="00F80DD4"/>
    <w:rsid w:val="00F81179"/>
    <w:rsid w:val="00F823C9"/>
    <w:rsid w:val="00F8331A"/>
    <w:rsid w:val="00F86C9A"/>
    <w:rsid w:val="00F92AFC"/>
    <w:rsid w:val="00F966C2"/>
    <w:rsid w:val="00FA1445"/>
    <w:rsid w:val="00FA18D2"/>
    <w:rsid w:val="00FA69F1"/>
    <w:rsid w:val="00FB3CA8"/>
    <w:rsid w:val="00FB5349"/>
    <w:rsid w:val="00FB70DE"/>
    <w:rsid w:val="00FB713C"/>
    <w:rsid w:val="00FB75EB"/>
    <w:rsid w:val="00FC21E1"/>
    <w:rsid w:val="00FC2498"/>
    <w:rsid w:val="00FC5A3C"/>
    <w:rsid w:val="00FC7357"/>
    <w:rsid w:val="00FD2865"/>
    <w:rsid w:val="00FD705F"/>
    <w:rsid w:val="00FD7E0E"/>
    <w:rsid w:val="00FE212C"/>
    <w:rsid w:val="00FE3B78"/>
    <w:rsid w:val="00FE555F"/>
    <w:rsid w:val="00FE5F2F"/>
    <w:rsid w:val="00FF322B"/>
    <w:rsid w:val="00FF64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90648-2B6B-477D-B6E2-3DFE019F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3DB"/>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link w:val="Heading2Char"/>
    <w:qFormat/>
    <w:rsid w:val="00F61147"/>
    <w:pPr>
      <w:keepNext/>
      <w:ind w:left="43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3DB"/>
    <w:pPr>
      <w:ind w:left="720"/>
      <w:contextualSpacing/>
    </w:pPr>
  </w:style>
  <w:style w:type="character" w:customStyle="1" w:styleId="Heading2Char">
    <w:name w:val="Heading 2 Char"/>
    <w:basedOn w:val="DefaultParagraphFont"/>
    <w:link w:val="Heading2"/>
    <w:rsid w:val="00F61147"/>
    <w:rPr>
      <w:rFonts w:ascii="Times New Roman" w:eastAsia="Times New Roman" w:hAnsi="Times New Roman" w:cs="Times New Roman"/>
      <w:b/>
      <w:bCs/>
      <w:sz w:val="24"/>
      <w:szCs w:val="24"/>
      <w:lang w:eastAsia="hr-HR"/>
    </w:rPr>
  </w:style>
  <w:style w:type="paragraph" w:styleId="Header">
    <w:name w:val="header"/>
    <w:basedOn w:val="Normal"/>
    <w:link w:val="HeaderChar"/>
    <w:uiPriority w:val="99"/>
    <w:unhideWhenUsed/>
    <w:rsid w:val="00F61147"/>
    <w:pPr>
      <w:tabs>
        <w:tab w:val="center" w:pos="4536"/>
        <w:tab w:val="right" w:pos="9072"/>
      </w:tabs>
    </w:pPr>
  </w:style>
  <w:style w:type="character" w:customStyle="1" w:styleId="HeaderChar">
    <w:name w:val="Header Char"/>
    <w:basedOn w:val="DefaultParagraphFont"/>
    <w:link w:val="Header"/>
    <w:uiPriority w:val="99"/>
    <w:rsid w:val="00F61147"/>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F61147"/>
    <w:pPr>
      <w:tabs>
        <w:tab w:val="center" w:pos="4536"/>
        <w:tab w:val="right" w:pos="9072"/>
      </w:tabs>
    </w:pPr>
  </w:style>
  <w:style w:type="character" w:customStyle="1" w:styleId="FooterChar">
    <w:name w:val="Footer Char"/>
    <w:basedOn w:val="DefaultParagraphFont"/>
    <w:link w:val="Footer"/>
    <w:uiPriority w:val="99"/>
    <w:rsid w:val="00F61147"/>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63610E"/>
    <w:rPr>
      <w:rFonts w:ascii="Tahoma" w:hAnsi="Tahoma" w:cs="Tahoma"/>
      <w:sz w:val="16"/>
      <w:szCs w:val="16"/>
    </w:rPr>
  </w:style>
  <w:style w:type="character" w:customStyle="1" w:styleId="BalloonTextChar">
    <w:name w:val="Balloon Text Char"/>
    <w:basedOn w:val="DefaultParagraphFont"/>
    <w:link w:val="BalloonText"/>
    <w:uiPriority w:val="99"/>
    <w:semiHidden/>
    <w:rsid w:val="0063610E"/>
    <w:rPr>
      <w:rFonts w:ascii="Tahoma" w:eastAsia="Times New Roman" w:hAnsi="Tahoma" w:cs="Tahoma"/>
      <w:sz w:val="16"/>
      <w:szCs w:val="16"/>
      <w:lang w:eastAsia="hr-HR"/>
    </w:rPr>
  </w:style>
  <w:style w:type="character" w:styleId="Hyperlink">
    <w:name w:val="Hyperlink"/>
    <w:basedOn w:val="DefaultParagraphFont"/>
    <w:uiPriority w:val="99"/>
    <w:semiHidden/>
    <w:unhideWhenUsed/>
    <w:rsid w:val="00926F07"/>
    <w:rPr>
      <w:color w:val="424242"/>
      <w:u w:val="single"/>
    </w:rPr>
  </w:style>
  <w:style w:type="character" w:styleId="CommentReference">
    <w:name w:val="annotation reference"/>
    <w:basedOn w:val="DefaultParagraphFont"/>
    <w:uiPriority w:val="99"/>
    <w:semiHidden/>
    <w:unhideWhenUsed/>
    <w:rsid w:val="00730AA8"/>
    <w:rPr>
      <w:sz w:val="16"/>
      <w:szCs w:val="16"/>
    </w:rPr>
  </w:style>
  <w:style w:type="paragraph" w:styleId="CommentText">
    <w:name w:val="annotation text"/>
    <w:basedOn w:val="Normal"/>
    <w:link w:val="CommentTextChar"/>
    <w:uiPriority w:val="99"/>
    <w:semiHidden/>
    <w:unhideWhenUsed/>
    <w:rsid w:val="00730AA8"/>
    <w:rPr>
      <w:sz w:val="20"/>
      <w:szCs w:val="20"/>
    </w:rPr>
  </w:style>
  <w:style w:type="character" w:customStyle="1" w:styleId="CommentTextChar">
    <w:name w:val="Comment Text Char"/>
    <w:basedOn w:val="DefaultParagraphFont"/>
    <w:link w:val="CommentText"/>
    <w:uiPriority w:val="99"/>
    <w:semiHidden/>
    <w:rsid w:val="00730AA8"/>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730AA8"/>
    <w:rPr>
      <w:b/>
      <w:bCs/>
    </w:rPr>
  </w:style>
  <w:style w:type="character" w:customStyle="1" w:styleId="CommentSubjectChar">
    <w:name w:val="Comment Subject Char"/>
    <w:basedOn w:val="CommentTextChar"/>
    <w:link w:val="CommentSubject"/>
    <w:uiPriority w:val="99"/>
    <w:semiHidden/>
    <w:rsid w:val="00730AA8"/>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8212">
      <w:bodyDiv w:val="1"/>
      <w:marLeft w:val="0"/>
      <w:marRight w:val="0"/>
      <w:marTop w:val="0"/>
      <w:marBottom w:val="0"/>
      <w:divBdr>
        <w:top w:val="none" w:sz="0" w:space="0" w:color="auto"/>
        <w:left w:val="none" w:sz="0" w:space="0" w:color="auto"/>
        <w:bottom w:val="none" w:sz="0" w:space="0" w:color="auto"/>
        <w:right w:val="none" w:sz="0" w:space="0" w:color="auto"/>
      </w:divBdr>
    </w:div>
    <w:div w:id="114712121">
      <w:bodyDiv w:val="1"/>
      <w:marLeft w:val="0"/>
      <w:marRight w:val="0"/>
      <w:marTop w:val="0"/>
      <w:marBottom w:val="0"/>
      <w:divBdr>
        <w:top w:val="none" w:sz="0" w:space="0" w:color="auto"/>
        <w:left w:val="none" w:sz="0" w:space="0" w:color="auto"/>
        <w:bottom w:val="none" w:sz="0" w:space="0" w:color="auto"/>
        <w:right w:val="none" w:sz="0" w:space="0" w:color="auto"/>
      </w:divBdr>
    </w:div>
    <w:div w:id="118304361">
      <w:bodyDiv w:val="1"/>
      <w:marLeft w:val="0"/>
      <w:marRight w:val="0"/>
      <w:marTop w:val="0"/>
      <w:marBottom w:val="0"/>
      <w:divBdr>
        <w:top w:val="none" w:sz="0" w:space="0" w:color="auto"/>
        <w:left w:val="none" w:sz="0" w:space="0" w:color="auto"/>
        <w:bottom w:val="none" w:sz="0" w:space="0" w:color="auto"/>
        <w:right w:val="none" w:sz="0" w:space="0" w:color="auto"/>
      </w:divBdr>
    </w:div>
    <w:div w:id="170532177">
      <w:bodyDiv w:val="1"/>
      <w:marLeft w:val="0"/>
      <w:marRight w:val="0"/>
      <w:marTop w:val="0"/>
      <w:marBottom w:val="0"/>
      <w:divBdr>
        <w:top w:val="none" w:sz="0" w:space="0" w:color="auto"/>
        <w:left w:val="none" w:sz="0" w:space="0" w:color="auto"/>
        <w:bottom w:val="none" w:sz="0" w:space="0" w:color="auto"/>
        <w:right w:val="none" w:sz="0" w:space="0" w:color="auto"/>
      </w:divBdr>
    </w:div>
    <w:div w:id="177741535">
      <w:bodyDiv w:val="1"/>
      <w:marLeft w:val="0"/>
      <w:marRight w:val="0"/>
      <w:marTop w:val="0"/>
      <w:marBottom w:val="0"/>
      <w:divBdr>
        <w:top w:val="none" w:sz="0" w:space="0" w:color="auto"/>
        <w:left w:val="none" w:sz="0" w:space="0" w:color="auto"/>
        <w:bottom w:val="none" w:sz="0" w:space="0" w:color="auto"/>
        <w:right w:val="none" w:sz="0" w:space="0" w:color="auto"/>
      </w:divBdr>
    </w:div>
    <w:div w:id="316956528">
      <w:bodyDiv w:val="1"/>
      <w:marLeft w:val="0"/>
      <w:marRight w:val="0"/>
      <w:marTop w:val="0"/>
      <w:marBottom w:val="0"/>
      <w:divBdr>
        <w:top w:val="none" w:sz="0" w:space="0" w:color="auto"/>
        <w:left w:val="none" w:sz="0" w:space="0" w:color="auto"/>
        <w:bottom w:val="none" w:sz="0" w:space="0" w:color="auto"/>
        <w:right w:val="none" w:sz="0" w:space="0" w:color="auto"/>
      </w:divBdr>
    </w:div>
    <w:div w:id="321666843">
      <w:bodyDiv w:val="1"/>
      <w:marLeft w:val="0"/>
      <w:marRight w:val="0"/>
      <w:marTop w:val="0"/>
      <w:marBottom w:val="0"/>
      <w:divBdr>
        <w:top w:val="none" w:sz="0" w:space="0" w:color="auto"/>
        <w:left w:val="none" w:sz="0" w:space="0" w:color="auto"/>
        <w:bottom w:val="none" w:sz="0" w:space="0" w:color="auto"/>
        <w:right w:val="none" w:sz="0" w:space="0" w:color="auto"/>
      </w:divBdr>
    </w:div>
    <w:div w:id="510799439">
      <w:bodyDiv w:val="1"/>
      <w:marLeft w:val="0"/>
      <w:marRight w:val="0"/>
      <w:marTop w:val="0"/>
      <w:marBottom w:val="0"/>
      <w:divBdr>
        <w:top w:val="none" w:sz="0" w:space="0" w:color="auto"/>
        <w:left w:val="none" w:sz="0" w:space="0" w:color="auto"/>
        <w:bottom w:val="none" w:sz="0" w:space="0" w:color="auto"/>
        <w:right w:val="none" w:sz="0" w:space="0" w:color="auto"/>
      </w:divBdr>
    </w:div>
    <w:div w:id="563416148">
      <w:bodyDiv w:val="1"/>
      <w:marLeft w:val="0"/>
      <w:marRight w:val="0"/>
      <w:marTop w:val="0"/>
      <w:marBottom w:val="0"/>
      <w:divBdr>
        <w:top w:val="none" w:sz="0" w:space="0" w:color="auto"/>
        <w:left w:val="none" w:sz="0" w:space="0" w:color="auto"/>
        <w:bottom w:val="none" w:sz="0" w:space="0" w:color="auto"/>
        <w:right w:val="none" w:sz="0" w:space="0" w:color="auto"/>
      </w:divBdr>
    </w:div>
    <w:div w:id="609776063">
      <w:bodyDiv w:val="1"/>
      <w:marLeft w:val="0"/>
      <w:marRight w:val="0"/>
      <w:marTop w:val="0"/>
      <w:marBottom w:val="0"/>
      <w:divBdr>
        <w:top w:val="none" w:sz="0" w:space="0" w:color="auto"/>
        <w:left w:val="none" w:sz="0" w:space="0" w:color="auto"/>
        <w:bottom w:val="none" w:sz="0" w:space="0" w:color="auto"/>
        <w:right w:val="none" w:sz="0" w:space="0" w:color="auto"/>
      </w:divBdr>
    </w:div>
    <w:div w:id="654720350">
      <w:bodyDiv w:val="1"/>
      <w:marLeft w:val="0"/>
      <w:marRight w:val="0"/>
      <w:marTop w:val="0"/>
      <w:marBottom w:val="0"/>
      <w:divBdr>
        <w:top w:val="none" w:sz="0" w:space="0" w:color="auto"/>
        <w:left w:val="none" w:sz="0" w:space="0" w:color="auto"/>
        <w:bottom w:val="none" w:sz="0" w:space="0" w:color="auto"/>
        <w:right w:val="none" w:sz="0" w:space="0" w:color="auto"/>
      </w:divBdr>
    </w:div>
    <w:div w:id="663558517">
      <w:bodyDiv w:val="1"/>
      <w:marLeft w:val="0"/>
      <w:marRight w:val="0"/>
      <w:marTop w:val="0"/>
      <w:marBottom w:val="0"/>
      <w:divBdr>
        <w:top w:val="none" w:sz="0" w:space="0" w:color="auto"/>
        <w:left w:val="none" w:sz="0" w:space="0" w:color="auto"/>
        <w:bottom w:val="none" w:sz="0" w:space="0" w:color="auto"/>
        <w:right w:val="none" w:sz="0" w:space="0" w:color="auto"/>
      </w:divBdr>
    </w:div>
    <w:div w:id="694431443">
      <w:bodyDiv w:val="1"/>
      <w:marLeft w:val="0"/>
      <w:marRight w:val="0"/>
      <w:marTop w:val="0"/>
      <w:marBottom w:val="0"/>
      <w:divBdr>
        <w:top w:val="none" w:sz="0" w:space="0" w:color="auto"/>
        <w:left w:val="none" w:sz="0" w:space="0" w:color="auto"/>
        <w:bottom w:val="none" w:sz="0" w:space="0" w:color="auto"/>
        <w:right w:val="none" w:sz="0" w:space="0" w:color="auto"/>
      </w:divBdr>
    </w:div>
    <w:div w:id="697049026">
      <w:bodyDiv w:val="1"/>
      <w:marLeft w:val="0"/>
      <w:marRight w:val="0"/>
      <w:marTop w:val="0"/>
      <w:marBottom w:val="0"/>
      <w:divBdr>
        <w:top w:val="none" w:sz="0" w:space="0" w:color="auto"/>
        <w:left w:val="none" w:sz="0" w:space="0" w:color="auto"/>
        <w:bottom w:val="none" w:sz="0" w:space="0" w:color="auto"/>
        <w:right w:val="none" w:sz="0" w:space="0" w:color="auto"/>
      </w:divBdr>
    </w:div>
    <w:div w:id="711073781">
      <w:bodyDiv w:val="1"/>
      <w:marLeft w:val="0"/>
      <w:marRight w:val="0"/>
      <w:marTop w:val="0"/>
      <w:marBottom w:val="0"/>
      <w:divBdr>
        <w:top w:val="none" w:sz="0" w:space="0" w:color="auto"/>
        <w:left w:val="none" w:sz="0" w:space="0" w:color="auto"/>
        <w:bottom w:val="none" w:sz="0" w:space="0" w:color="auto"/>
        <w:right w:val="none" w:sz="0" w:space="0" w:color="auto"/>
      </w:divBdr>
    </w:div>
    <w:div w:id="762920469">
      <w:bodyDiv w:val="1"/>
      <w:marLeft w:val="0"/>
      <w:marRight w:val="0"/>
      <w:marTop w:val="0"/>
      <w:marBottom w:val="0"/>
      <w:divBdr>
        <w:top w:val="none" w:sz="0" w:space="0" w:color="auto"/>
        <w:left w:val="none" w:sz="0" w:space="0" w:color="auto"/>
        <w:bottom w:val="none" w:sz="0" w:space="0" w:color="auto"/>
        <w:right w:val="none" w:sz="0" w:space="0" w:color="auto"/>
      </w:divBdr>
    </w:div>
    <w:div w:id="767852208">
      <w:bodyDiv w:val="1"/>
      <w:marLeft w:val="0"/>
      <w:marRight w:val="0"/>
      <w:marTop w:val="0"/>
      <w:marBottom w:val="0"/>
      <w:divBdr>
        <w:top w:val="none" w:sz="0" w:space="0" w:color="auto"/>
        <w:left w:val="none" w:sz="0" w:space="0" w:color="auto"/>
        <w:bottom w:val="none" w:sz="0" w:space="0" w:color="auto"/>
        <w:right w:val="none" w:sz="0" w:space="0" w:color="auto"/>
      </w:divBdr>
    </w:div>
    <w:div w:id="811874362">
      <w:bodyDiv w:val="1"/>
      <w:marLeft w:val="0"/>
      <w:marRight w:val="0"/>
      <w:marTop w:val="0"/>
      <w:marBottom w:val="0"/>
      <w:divBdr>
        <w:top w:val="none" w:sz="0" w:space="0" w:color="auto"/>
        <w:left w:val="none" w:sz="0" w:space="0" w:color="auto"/>
        <w:bottom w:val="none" w:sz="0" w:space="0" w:color="auto"/>
        <w:right w:val="none" w:sz="0" w:space="0" w:color="auto"/>
      </w:divBdr>
    </w:div>
    <w:div w:id="874660844">
      <w:bodyDiv w:val="1"/>
      <w:marLeft w:val="0"/>
      <w:marRight w:val="0"/>
      <w:marTop w:val="0"/>
      <w:marBottom w:val="0"/>
      <w:divBdr>
        <w:top w:val="none" w:sz="0" w:space="0" w:color="auto"/>
        <w:left w:val="none" w:sz="0" w:space="0" w:color="auto"/>
        <w:bottom w:val="none" w:sz="0" w:space="0" w:color="auto"/>
        <w:right w:val="none" w:sz="0" w:space="0" w:color="auto"/>
      </w:divBdr>
    </w:div>
    <w:div w:id="942998916">
      <w:bodyDiv w:val="1"/>
      <w:marLeft w:val="0"/>
      <w:marRight w:val="0"/>
      <w:marTop w:val="0"/>
      <w:marBottom w:val="0"/>
      <w:divBdr>
        <w:top w:val="none" w:sz="0" w:space="0" w:color="auto"/>
        <w:left w:val="none" w:sz="0" w:space="0" w:color="auto"/>
        <w:bottom w:val="none" w:sz="0" w:space="0" w:color="auto"/>
        <w:right w:val="none" w:sz="0" w:space="0" w:color="auto"/>
      </w:divBdr>
    </w:div>
    <w:div w:id="1046104687">
      <w:bodyDiv w:val="1"/>
      <w:marLeft w:val="0"/>
      <w:marRight w:val="0"/>
      <w:marTop w:val="0"/>
      <w:marBottom w:val="0"/>
      <w:divBdr>
        <w:top w:val="none" w:sz="0" w:space="0" w:color="auto"/>
        <w:left w:val="none" w:sz="0" w:space="0" w:color="auto"/>
        <w:bottom w:val="none" w:sz="0" w:space="0" w:color="auto"/>
        <w:right w:val="none" w:sz="0" w:space="0" w:color="auto"/>
      </w:divBdr>
    </w:div>
    <w:div w:id="1190608813">
      <w:bodyDiv w:val="1"/>
      <w:marLeft w:val="0"/>
      <w:marRight w:val="0"/>
      <w:marTop w:val="0"/>
      <w:marBottom w:val="0"/>
      <w:divBdr>
        <w:top w:val="none" w:sz="0" w:space="0" w:color="auto"/>
        <w:left w:val="none" w:sz="0" w:space="0" w:color="auto"/>
        <w:bottom w:val="none" w:sz="0" w:space="0" w:color="auto"/>
        <w:right w:val="none" w:sz="0" w:space="0" w:color="auto"/>
      </w:divBdr>
    </w:div>
    <w:div w:id="1256591633">
      <w:bodyDiv w:val="1"/>
      <w:marLeft w:val="0"/>
      <w:marRight w:val="0"/>
      <w:marTop w:val="0"/>
      <w:marBottom w:val="0"/>
      <w:divBdr>
        <w:top w:val="none" w:sz="0" w:space="0" w:color="auto"/>
        <w:left w:val="none" w:sz="0" w:space="0" w:color="auto"/>
        <w:bottom w:val="none" w:sz="0" w:space="0" w:color="auto"/>
        <w:right w:val="none" w:sz="0" w:space="0" w:color="auto"/>
      </w:divBdr>
    </w:div>
    <w:div w:id="1332299094">
      <w:bodyDiv w:val="1"/>
      <w:marLeft w:val="0"/>
      <w:marRight w:val="0"/>
      <w:marTop w:val="0"/>
      <w:marBottom w:val="0"/>
      <w:divBdr>
        <w:top w:val="none" w:sz="0" w:space="0" w:color="auto"/>
        <w:left w:val="none" w:sz="0" w:space="0" w:color="auto"/>
        <w:bottom w:val="none" w:sz="0" w:space="0" w:color="auto"/>
        <w:right w:val="none" w:sz="0" w:space="0" w:color="auto"/>
      </w:divBdr>
    </w:div>
    <w:div w:id="1370833540">
      <w:bodyDiv w:val="1"/>
      <w:marLeft w:val="0"/>
      <w:marRight w:val="0"/>
      <w:marTop w:val="0"/>
      <w:marBottom w:val="0"/>
      <w:divBdr>
        <w:top w:val="none" w:sz="0" w:space="0" w:color="auto"/>
        <w:left w:val="none" w:sz="0" w:space="0" w:color="auto"/>
        <w:bottom w:val="none" w:sz="0" w:space="0" w:color="auto"/>
        <w:right w:val="none" w:sz="0" w:space="0" w:color="auto"/>
      </w:divBdr>
    </w:div>
    <w:div w:id="1423187139">
      <w:bodyDiv w:val="1"/>
      <w:marLeft w:val="0"/>
      <w:marRight w:val="0"/>
      <w:marTop w:val="0"/>
      <w:marBottom w:val="0"/>
      <w:divBdr>
        <w:top w:val="none" w:sz="0" w:space="0" w:color="auto"/>
        <w:left w:val="none" w:sz="0" w:space="0" w:color="auto"/>
        <w:bottom w:val="none" w:sz="0" w:space="0" w:color="auto"/>
        <w:right w:val="none" w:sz="0" w:space="0" w:color="auto"/>
      </w:divBdr>
    </w:div>
    <w:div w:id="1469736688">
      <w:bodyDiv w:val="1"/>
      <w:marLeft w:val="0"/>
      <w:marRight w:val="0"/>
      <w:marTop w:val="0"/>
      <w:marBottom w:val="0"/>
      <w:divBdr>
        <w:top w:val="none" w:sz="0" w:space="0" w:color="auto"/>
        <w:left w:val="none" w:sz="0" w:space="0" w:color="auto"/>
        <w:bottom w:val="none" w:sz="0" w:space="0" w:color="auto"/>
        <w:right w:val="none" w:sz="0" w:space="0" w:color="auto"/>
      </w:divBdr>
    </w:div>
    <w:div w:id="1470827716">
      <w:bodyDiv w:val="1"/>
      <w:marLeft w:val="0"/>
      <w:marRight w:val="0"/>
      <w:marTop w:val="0"/>
      <w:marBottom w:val="0"/>
      <w:divBdr>
        <w:top w:val="none" w:sz="0" w:space="0" w:color="auto"/>
        <w:left w:val="none" w:sz="0" w:space="0" w:color="auto"/>
        <w:bottom w:val="none" w:sz="0" w:space="0" w:color="auto"/>
        <w:right w:val="none" w:sz="0" w:space="0" w:color="auto"/>
      </w:divBdr>
    </w:div>
    <w:div w:id="1478759945">
      <w:bodyDiv w:val="1"/>
      <w:marLeft w:val="0"/>
      <w:marRight w:val="0"/>
      <w:marTop w:val="0"/>
      <w:marBottom w:val="0"/>
      <w:divBdr>
        <w:top w:val="none" w:sz="0" w:space="0" w:color="auto"/>
        <w:left w:val="none" w:sz="0" w:space="0" w:color="auto"/>
        <w:bottom w:val="none" w:sz="0" w:space="0" w:color="auto"/>
        <w:right w:val="none" w:sz="0" w:space="0" w:color="auto"/>
      </w:divBdr>
    </w:div>
    <w:div w:id="1515652376">
      <w:bodyDiv w:val="1"/>
      <w:marLeft w:val="0"/>
      <w:marRight w:val="0"/>
      <w:marTop w:val="0"/>
      <w:marBottom w:val="0"/>
      <w:divBdr>
        <w:top w:val="none" w:sz="0" w:space="0" w:color="auto"/>
        <w:left w:val="none" w:sz="0" w:space="0" w:color="auto"/>
        <w:bottom w:val="none" w:sz="0" w:space="0" w:color="auto"/>
        <w:right w:val="none" w:sz="0" w:space="0" w:color="auto"/>
      </w:divBdr>
    </w:div>
    <w:div w:id="1688214537">
      <w:bodyDiv w:val="1"/>
      <w:marLeft w:val="0"/>
      <w:marRight w:val="0"/>
      <w:marTop w:val="0"/>
      <w:marBottom w:val="0"/>
      <w:divBdr>
        <w:top w:val="none" w:sz="0" w:space="0" w:color="auto"/>
        <w:left w:val="none" w:sz="0" w:space="0" w:color="auto"/>
        <w:bottom w:val="none" w:sz="0" w:space="0" w:color="auto"/>
        <w:right w:val="none" w:sz="0" w:space="0" w:color="auto"/>
      </w:divBdr>
    </w:div>
    <w:div w:id="1696465408">
      <w:bodyDiv w:val="1"/>
      <w:marLeft w:val="0"/>
      <w:marRight w:val="0"/>
      <w:marTop w:val="0"/>
      <w:marBottom w:val="0"/>
      <w:divBdr>
        <w:top w:val="none" w:sz="0" w:space="0" w:color="auto"/>
        <w:left w:val="none" w:sz="0" w:space="0" w:color="auto"/>
        <w:bottom w:val="none" w:sz="0" w:space="0" w:color="auto"/>
        <w:right w:val="none" w:sz="0" w:space="0" w:color="auto"/>
      </w:divBdr>
    </w:div>
    <w:div w:id="1700860784">
      <w:bodyDiv w:val="1"/>
      <w:marLeft w:val="0"/>
      <w:marRight w:val="0"/>
      <w:marTop w:val="0"/>
      <w:marBottom w:val="0"/>
      <w:divBdr>
        <w:top w:val="none" w:sz="0" w:space="0" w:color="auto"/>
        <w:left w:val="none" w:sz="0" w:space="0" w:color="auto"/>
        <w:bottom w:val="none" w:sz="0" w:space="0" w:color="auto"/>
        <w:right w:val="none" w:sz="0" w:space="0" w:color="auto"/>
      </w:divBdr>
    </w:div>
    <w:div w:id="1740328750">
      <w:bodyDiv w:val="1"/>
      <w:marLeft w:val="0"/>
      <w:marRight w:val="0"/>
      <w:marTop w:val="0"/>
      <w:marBottom w:val="0"/>
      <w:divBdr>
        <w:top w:val="none" w:sz="0" w:space="0" w:color="auto"/>
        <w:left w:val="none" w:sz="0" w:space="0" w:color="auto"/>
        <w:bottom w:val="none" w:sz="0" w:space="0" w:color="auto"/>
        <w:right w:val="none" w:sz="0" w:space="0" w:color="auto"/>
      </w:divBdr>
    </w:div>
    <w:div w:id="1777098929">
      <w:bodyDiv w:val="1"/>
      <w:marLeft w:val="0"/>
      <w:marRight w:val="0"/>
      <w:marTop w:val="0"/>
      <w:marBottom w:val="0"/>
      <w:divBdr>
        <w:top w:val="none" w:sz="0" w:space="0" w:color="auto"/>
        <w:left w:val="none" w:sz="0" w:space="0" w:color="auto"/>
        <w:bottom w:val="none" w:sz="0" w:space="0" w:color="auto"/>
        <w:right w:val="none" w:sz="0" w:space="0" w:color="auto"/>
      </w:divBdr>
    </w:div>
    <w:div w:id="1850949798">
      <w:bodyDiv w:val="1"/>
      <w:marLeft w:val="0"/>
      <w:marRight w:val="0"/>
      <w:marTop w:val="0"/>
      <w:marBottom w:val="0"/>
      <w:divBdr>
        <w:top w:val="none" w:sz="0" w:space="0" w:color="auto"/>
        <w:left w:val="none" w:sz="0" w:space="0" w:color="auto"/>
        <w:bottom w:val="none" w:sz="0" w:space="0" w:color="auto"/>
        <w:right w:val="none" w:sz="0" w:space="0" w:color="auto"/>
      </w:divBdr>
    </w:div>
    <w:div w:id="1982539178">
      <w:bodyDiv w:val="1"/>
      <w:marLeft w:val="0"/>
      <w:marRight w:val="0"/>
      <w:marTop w:val="0"/>
      <w:marBottom w:val="0"/>
      <w:divBdr>
        <w:top w:val="none" w:sz="0" w:space="0" w:color="auto"/>
        <w:left w:val="none" w:sz="0" w:space="0" w:color="auto"/>
        <w:bottom w:val="none" w:sz="0" w:space="0" w:color="auto"/>
        <w:right w:val="none" w:sz="0" w:space="0" w:color="auto"/>
      </w:divBdr>
    </w:div>
    <w:div w:id="2066173674">
      <w:bodyDiv w:val="1"/>
      <w:marLeft w:val="0"/>
      <w:marRight w:val="0"/>
      <w:marTop w:val="0"/>
      <w:marBottom w:val="0"/>
      <w:divBdr>
        <w:top w:val="none" w:sz="0" w:space="0" w:color="auto"/>
        <w:left w:val="none" w:sz="0" w:space="0" w:color="auto"/>
        <w:bottom w:val="none" w:sz="0" w:space="0" w:color="auto"/>
        <w:right w:val="none" w:sz="0" w:space="0" w:color="auto"/>
      </w:divBdr>
    </w:div>
    <w:div w:id="2088917856">
      <w:bodyDiv w:val="1"/>
      <w:marLeft w:val="0"/>
      <w:marRight w:val="0"/>
      <w:marTop w:val="0"/>
      <w:marBottom w:val="0"/>
      <w:divBdr>
        <w:top w:val="none" w:sz="0" w:space="0" w:color="auto"/>
        <w:left w:val="none" w:sz="0" w:space="0" w:color="auto"/>
        <w:bottom w:val="none" w:sz="0" w:space="0" w:color="auto"/>
        <w:right w:val="none" w:sz="0" w:space="0" w:color="auto"/>
      </w:divBdr>
    </w:div>
    <w:div w:id="21382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89C8-EDF8-46FE-A6C3-85F65ABE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mcapan</dc:creator>
  <cp:lastModifiedBy>Silva Mirosavljević</cp:lastModifiedBy>
  <cp:revision>4</cp:revision>
  <cp:lastPrinted>2022-01-27T14:13:00Z</cp:lastPrinted>
  <dcterms:created xsi:type="dcterms:W3CDTF">2022-01-28T13:18:00Z</dcterms:created>
  <dcterms:modified xsi:type="dcterms:W3CDTF">2022-01-28T19:07:00Z</dcterms:modified>
</cp:coreProperties>
</file>