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E8" w:rsidRDefault="00E62AA3" w:rsidP="00012DE8">
      <w:pPr>
        <w:jc w:val="center"/>
        <w:rPr>
          <w:b/>
        </w:rPr>
      </w:pPr>
      <w:r>
        <w:rPr>
          <w:b/>
        </w:rPr>
        <w:t xml:space="preserve">SREDIŠNJI </w:t>
      </w:r>
      <w:r w:rsidR="008A36F9">
        <w:rPr>
          <w:b/>
        </w:rPr>
        <w:t>DRŽAVNI URED ZA OBNOVU I STA</w:t>
      </w:r>
      <w:r w:rsidR="00882CF0">
        <w:rPr>
          <w:b/>
        </w:rPr>
        <w:t xml:space="preserve">MBENO ZBRINJAVANJE </w:t>
      </w:r>
    </w:p>
    <w:p w:rsidR="00F61147" w:rsidRDefault="00882CF0" w:rsidP="00012DE8">
      <w:pPr>
        <w:jc w:val="center"/>
        <w:rPr>
          <w:b/>
        </w:rPr>
      </w:pPr>
      <w:r>
        <w:rPr>
          <w:b/>
        </w:rPr>
        <w:t xml:space="preserve"> </w:t>
      </w:r>
      <w:r w:rsidR="008640C5">
        <w:rPr>
          <w:b/>
        </w:rPr>
        <w:t>GLAVA</w:t>
      </w:r>
      <w:r>
        <w:rPr>
          <w:b/>
        </w:rPr>
        <w:t xml:space="preserve"> 03305</w:t>
      </w:r>
    </w:p>
    <w:p w:rsidR="003344B4" w:rsidRDefault="003344B4" w:rsidP="000F2EC6">
      <w:pPr>
        <w:jc w:val="center"/>
        <w:rPr>
          <w:b/>
        </w:rPr>
      </w:pPr>
    </w:p>
    <w:p w:rsidR="003344B4" w:rsidRPr="00870487" w:rsidRDefault="003344B4" w:rsidP="000F2EC6">
      <w:pPr>
        <w:jc w:val="center"/>
        <w:rPr>
          <w:b/>
          <w:color w:val="FF0000"/>
        </w:rPr>
      </w:pPr>
    </w:p>
    <w:p w:rsidR="00A443DB" w:rsidRDefault="00A443DB" w:rsidP="00A443DB">
      <w:pPr>
        <w:jc w:val="both"/>
        <w:rPr>
          <w:b/>
        </w:rPr>
      </w:pPr>
    </w:p>
    <w:p w:rsidR="00572CFF" w:rsidRDefault="00A443DB" w:rsidP="00A443DB">
      <w:pPr>
        <w:jc w:val="center"/>
        <w:rPr>
          <w:b/>
          <w:sz w:val="28"/>
          <w:szCs w:val="28"/>
        </w:rPr>
      </w:pPr>
      <w:r w:rsidRPr="00572CFF">
        <w:rPr>
          <w:b/>
          <w:sz w:val="28"/>
          <w:szCs w:val="28"/>
        </w:rPr>
        <w:t xml:space="preserve">BILJEŠKE UZ </w:t>
      </w:r>
      <w:r w:rsidR="006E0C26" w:rsidRPr="00572CFF">
        <w:rPr>
          <w:b/>
          <w:sz w:val="28"/>
          <w:szCs w:val="28"/>
        </w:rPr>
        <w:t xml:space="preserve">FINANCIJSKA IZVJEŠĆA </w:t>
      </w:r>
      <w:r w:rsidRPr="00572CFF">
        <w:rPr>
          <w:b/>
          <w:sz w:val="28"/>
          <w:szCs w:val="28"/>
        </w:rPr>
        <w:t xml:space="preserve"> </w:t>
      </w:r>
      <w:r w:rsidR="00F61147" w:rsidRPr="00572CFF">
        <w:rPr>
          <w:b/>
          <w:sz w:val="28"/>
          <w:szCs w:val="28"/>
        </w:rPr>
        <w:t>za</w:t>
      </w:r>
      <w:r w:rsidRPr="00572CFF">
        <w:rPr>
          <w:b/>
          <w:sz w:val="28"/>
          <w:szCs w:val="28"/>
        </w:rPr>
        <w:t xml:space="preserve"> razdoblje </w:t>
      </w:r>
    </w:p>
    <w:p w:rsidR="00A443DB" w:rsidRPr="00572CFF" w:rsidRDefault="00842DBD" w:rsidP="00A443DB">
      <w:pPr>
        <w:jc w:val="center"/>
        <w:rPr>
          <w:b/>
          <w:sz w:val="28"/>
          <w:szCs w:val="28"/>
        </w:rPr>
      </w:pPr>
      <w:r w:rsidRPr="00572CFF">
        <w:rPr>
          <w:b/>
          <w:sz w:val="28"/>
          <w:szCs w:val="28"/>
        </w:rPr>
        <w:t xml:space="preserve">siječanj – </w:t>
      </w:r>
      <w:r w:rsidR="00270E32" w:rsidRPr="00572CFF">
        <w:rPr>
          <w:b/>
          <w:sz w:val="28"/>
          <w:szCs w:val="28"/>
        </w:rPr>
        <w:t>prosinac</w:t>
      </w:r>
      <w:r w:rsidRPr="00572CFF">
        <w:rPr>
          <w:b/>
          <w:sz w:val="28"/>
          <w:szCs w:val="28"/>
        </w:rPr>
        <w:t xml:space="preserve"> </w:t>
      </w:r>
      <w:r w:rsidR="00BE2C09">
        <w:rPr>
          <w:b/>
          <w:sz w:val="28"/>
          <w:szCs w:val="28"/>
        </w:rPr>
        <w:t>202</w:t>
      </w:r>
      <w:r w:rsidR="009625CA">
        <w:rPr>
          <w:b/>
          <w:sz w:val="28"/>
          <w:szCs w:val="28"/>
        </w:rPr>
        <w:t>2</w:t>
      </w:r>
      <w:r w:rsidR="00A443DB" w:rsidRPr="00572CFF">
        <w:rPr>
          <w:b/>
          <w:sz w:val="28"/>
          <w:szCs w:val="28"/>
        </w:rPr>
        <w:t xml:space="preserve">. </w:t>
      </w:r>
      <w:r w:rsidR="00F61147" w:rsidRPr="00572CFF">
        <w:rPr>
          <w:b/>
          <w:sz w:val="28"/>
          <w:szCs w:val="28"/>
        </w:rPr>
        <w:t>godine</w:t>
      </w:r>
    </w:p>
    <w:p w:rsidR="003344B4" w:rsidRPr="00572CFF" w:rsidRDefault="003344B4" w:rsidP="00A443DB">
      <w:pPr>
        <w:jc w:val="center"/>
        <w:rPr>
          <w:b/>
          <w:sz w:val="28"/>
          <w:szCs w:val="28"/>
        </w:rPr>
      </w:pPr>
    </w:p>
    <w:p w:rsidR="000F2EC6" w:rsidRDefault="000F2EC6" w:rsidP="00A443DB">
      <w:pPr>
        <w:jc w:val="center"/>
        <w:rPr>
          <w:b/>
        </w:rPr>
      </w:pPr>
    </w:p>
    <w:p w:rsidR="00A443DB" w:rsidRDefault="00A443DB" w:rsidP="00A443DB">
      <w:pPr>
        <w:jc w:val="both"/>
        <w:rPr>
          <w:b/>
        </w:rPr>
      </w:pPr>
    </w:p>
    <w:p w:rsidR="00A443DB" w:rsidRDefault="00882CF0" w:rsidP="00FD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BILJEŠKE O PRIHODIMA I RASHODIMA, PRIMICIMA  I IZDACIMA</w:t>
      </w:r>
    </w:p>
    <w:p w:rsidR="000F2EC6" w:rsidRDefault="000F2EC6" w:rsidP="00A443DB">
      <w:pPr>
        <w:jc w:val="both"/>
        <w:rPr>
          <w:b/>
        </w:rPr>
      </w:pPr>
    </w:p>
    <w:p w:rsidR="00A443DB" w:rsidRPr="00CE6CD3" w:rsidRDefault="00A443DB" w:rsidP="00F61147">
      <w:pPr>
        <w:jc w:val="both"/>
        <w:rPr>
          <w:b/>
          <w:u w:val="single"/>
        </w:rPr>
      </w:pPr>
      <w:r w:rsidRPr="00CE6CD3">
        <w:rPr>
          <w:b/>
        </w:rPr>
        <w:t xml:space="preserve">Planirani i ostvareni prihodi </w:t>
      </w:r>
      <w:r w:rsidR="0024572F" w:rsidRPr="00CE6CD3">
        <w:rPr>
          <w:b/>
        </w:rPr>
        <w:t>i primici</w:t>
      </w:r>
      <w:r w:rsidRPr="00CE6CD3">
        <w:rPr>
          <w:b/>
          <w:u w:val="single"/>
        </w:rPr>
        <w:t xml:space="preserve"> </w:t>
      </w:r>
    </w:p>
    <w:p w:rsidR="00A443DB" w:rsidRPr="00CE6CD3" w:rsidRDefault="00A443DB" w:rsidP="00A443DB">
      <w:pPr>
        <w:jc w:val="both"/>
        <w:rPr>
          <w:b/>
        </w:rPr>
      </w:pPr>
    </w:p>
    <w:p w:rsidR="00A443DB" w:rsidRDefault="00D23040" w:rsidP="00DF4009">
      <w:pPr>
        <w:ind w:right="-284"/>
        <w:jc w:val="both"/>
      </w:pPr>
      <w:r w:rsidRPr="00D81DC1">
        <w:t xml:space="preserve">U </w:t>
      </w:r>
      <w:r w:rsidR="00A443DB" w:rsidRPr="00D81DC1">
        <w:t>Državn</w:t>
      </w:r>
      <w:r w:rsidRPr="00D81DC1">
        <w:t>o</w:t>
      </w:r>
      <w:r w:rsidR="00A443DB" w:rsidRPr="00D81DC1">
        <w:t>m proračun</w:t>
      </w:r>
      <w:r w:rsidRPr="00D81DC1">
        <w:t>u</w:t>
      </w:r>
      <w:r w:rsidR="00A443DB" w:rsidRPr="00D81DC1">
        <w:t xml:space="preserve"> Republike Hrvatske za </w:t>
      </w:r>
      <w:r w:rsidR="0082578A">
        <w:t>202</w:t>
      </w:r>
      <w:r w:rsidR="00D04E3F">
        <w:t>2</w:t>
      </w:r>
      <w:r w:rsidR="00C46B69" w:rsidRPr="00D81DC1">
        <w:t>.</w:t>
      </w:r>
      <w:r w:rsidR="00A443DB" w:rsidRPr="00D81DC1">
        <w:t xml:space="preserve"> godin</w:t>
      </w:r>
      <w:r w:rsidR="00C46B69" w:rsidRPr="00D81DC1">
        <w:t>u</w:t>
      </w:r>
      <w:r w:rsidR="00AA0343" w:rsidRPr="00D81DC1">
        <w:t>, u r</w:t>
      </w:r>
      <w:r w:rsidR="00A443DB" w:rsidRPr="00D81DC1">
        <w:t>azdjelu 0</w:t>
      </w:r>
      <w:r w:rsidR="008A36F9" w:rsidRPr="00D81DC1">
        <w:t>33</w:t>
      </w:r>
      <w:r w:rsidR="00A443DB" w:rsidRPr="00D81DC1">
        <w:t xml:space="preserve"> </w:t>
      </w:r>
      <w:r w:rsidR="008A36F9" w:rsidRPr="00D81DC1">
        <w:t>–</w:t>
      </w:r>
      <w:r w:rsidR="000F2EC6" w:rsidRPr="00D81DC1">
        <w:t xml:space="preserve"> </w:t>
      </w:r>
      <w:r w:rsidR="00A74B50" w:rsidRPr="00D81DC1">
        <w:t>Središnji</w:t>
      </w:r>
      <w:r w:rsidR="00F966C2" w:rsidRPr="00D81DC1">
        <w:t xml:space="preserve"> </w:t>
      </w:r>
      <w:r w:rsidR="00A74B50" w:rsidRPr="00D81DC1">
        <w:t>d</w:t>
      </w:r>
      <w:r w:rsidR="008A36F9" w:rsidRPr="00D81DC1">
        <w:t>ržavni ured za obnovu i stambeno zbrinjavanje</w:t>
      </w:r>
      <w:r w:rsidR="00C46B69" w:rsidRPr="00D81DC1">
        <w:t xml:space="preserve"> </w:t>
      </w:r>
      <w:r w:rsidR="00D04E3F">
        <w:t>u</w:t>
      </w:r>
      <w:r w:rsidR="00744CB0">
        <w:t>kupno</w:t>
      </w:r>
      <w:r w:rsidR="00D04E3F">
        <w:t xml:space="preserve"> </w:t>
      </w:r>
      <w:r w:rsidR="00A443DB">
        <w:t>ostvareni prihodi</w:t>
      </w:r>
      <w:r w:rsidR="0061313C">
        <w:t xml:space="preserve"> i primici</w:t>
      </w:r>
      <w:r w:rsidR="00A443DB">
        <w:t xml:space="preserve"> u </w:t>
      </w:r>
      <w:r w:rsidR="00C46B69">
        <w:t xml:space="preserve">razdoblju siječanj – </w:t>
      </w:r>
      <w:r w:rsidR="00270E32">
        <w:t>prosinac</w:t>
      </w:r>
      <w:r w:rsidR="00D04E3F">
        <w:t xml:space="preserve"> 2022</w:t>
      </w:r>
      <w:r w:rsidR="00C46B69">
        <w:t>.</w:t>
      </w:r>
      <w:r w:rsidR="00A443DB">
        <w:t xml:space="preserve"> godin</w:t>
      </w:r>
      <w:r w:rsidR="00C46B69">
        <w:t>e</w:t>
      </w:r>
      <w:r w:rsidR="00A443DB">
        <w:t xml:space="preserve"> iznose </w:t>
      </w:r>
      <w:r w:rsidR="006F596A">
        <w:t>436.617.710,09</w:t>
      </w:r>
      <w:r w:rsidR="00F26430">
        <w:rPr>
          <w:b/>
        </w:rPr>
        <w:t xml:space="preserve"> </w:t>
      </w:r>
      <w:r w:rsidR="00F26430">
        <w:t>kn</w:t>
      </w:r>
      <w:r w:rsidR="0061313C">
        <w:t>,</w:t>
      </w:r>
      <w:r w:rsidR="00A443DB">
        <w:t xml:space="preserve"> </w:t>
      </w:r>
      <w:r w:rsidR="00CF3099">
        <w:t xml:space="preserve">a </w:t>
      </w:r>
      <w:r w:rsidR="00A443DB">
        <w:t xml:space="preserve">iznos </w:t>
      </w:r>
      <w:r w:rsidR="00CF3099">
        <w:t xml:space="preserve">se </w:t>
      </w:r>
      <w:r w:rsidR="00A443DB">
        <w:t>sastoji od</w:t>
      </w:r>
      <w:r w:rsidR="00871A30">
        <w:t xml:space="preserve"> izvora financiranja </w:t>
      </w:r>
      <w:r w:rsidR="0090199E">
        <w:t>11,</w:t>
      </w:r>
      <w:r w:rsidR="00270117">
        <w:t xml:space="preserve"> </w:t>
      </w:r>
      <w:r w:rsidR="0090199E">
        <w:t>12,</w:t>
      </w:r>
      <w:r w:rsidR="00270117">
        <w:t xml:space="preserve"> </w:t>
      </w:r>
      <w:r w:rsidR="00932E88">
        <w:t>53</w:t>
      </w:r>
      <w:r w:rsidR="0088714B">
        <w:t>,</w:t>
      </w:r>
      <w:r w:rsidR="00F569A6">
        <w:t xml:space="preserve"> </w:t>
      </w:r>
      <w:r w:rsidR="0088714B">
        <w:t>61</w:t>
      </w:r>
      <w:r w:rsidR="006F596A">
        <w:t>, 563, 581</w:t>
      </w:r>
      <w:r w:rsidR="00744CB0">
        <w:t>.</w:t>
      </w:r>
    </w:p>
    <w:p w:rsidR="00E57157" w:rsidRDefault="00E57157" w:rsidP="00DF4009">
      <w:pPr>
        <w:ind w:right="-284"/>
        <w:jc w:val="both"/>
      </w:pPr>
    </w:p>
    <w:p w:rsidR="00E57157" w:rsidRDefault="00E57157" w:rsidP="00DF4009">
      <w:pPr>
        <w:ind w:right="-284"/>
        <w:jc w:val="both"/>
        <w:rPr>
          <w:b/>
        </w:rPr>
      </w:pPr>
      <w:r w:rsidRPr="00E57157">
        <w:rPr>
          <w:b/>
        </w:rPr>
        <w:t>OSTVARENI PRIHODI I PRIMICI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557"/>
        <w:gridCol w:w="3080"/>
        <w:gridCol w:w="816"/>
        <w:gridCol w:w="1716"/>
        <w:gridCol w:w="1716"/>
        <w:gridCol w:w="915"/>
      </w:tblGrid>
      <w:tr w:rsidR="00BB39C6" w:rsidRPr="00BB39C6" w:rsidTr="00BB39C6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Rb.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 xml:space="preserve">Prihodi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Grupa konta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Ostvareno 2021.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Ostvareno 2022.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Ind.</w:t>
            </w:r>
          </w:p>
        </w:tc>
      </w:tr>
      <w:tr w:rsidR="00BB39C6" w:rsidRPr="00BB39C6" w:rsidTr="00BB39C6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rPr>
                <w:color w:val="000000"/>
              </w:rPr>
            </w:pPr>
            <w:r w:rsidRPr="00BB39C6">
              <w:rPr>
                <w:color w:val="000000"/>
              </w:rPr>
              <w:t>Pomoći iz inozemstva i od subjekata unutar općeg proračuna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color w:val="000000"/>
              </w:rPr>
            </w:pPr>
            <w:r w:rsidRPr="00BB39C6">
              <w:rPr>
                <w:color w:val="000000"/>
              </w:rPr>
              <w:t>6.707.284,12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color w:val="000000"/>
              </w:rPr>
            </w:pPr>
            <w:r w:rsidRPr="00BB39C6">
              <w:rPr>
                <w:color w:val="000000"/>
              </w:rPr>
              <w:t>71.693.749,22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1069%</w:t>
            </w:r>
          </w:p>
        </w:tc>
      </w:tr>
      <w:tr w:rsidR="00BB39C6" w:rsidRPr="00BB39C6" w:rsidTr="00BB39C6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rPr>
                <w:color w:val="000000"/>
              </w:rPr>
            </w:pPr>
            <w:r w:rsidRPr="00BB39C6">
              <w:rPr>
                <w:color w:val="000000"/>
              </w:rPr>
              <w:t>Prihodi od uprav.i admin.prostojbi po pos. propisima i  naknada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color w:val="000000"/>
              </w:rPr>
            </w:pPr>
            <w:r w:rsidRPr="00BB39C6">
              <w:rPr>
                <w:color w:val="000000"/>
              </w:rPr>
              <w:t>1.625,00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color w:val="000000"/>
              </w:rPr>
            </w:pPr>
            <w:r w:rsidRPr="00BB39C6">
              <w:rPr>
                <w:color w:val="000000"/>
              </w:rPr>
              <w:t>3.449,83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212%</w:t>
            </w:r>
          </w:p>
        </w:tc>
      </w:tr>
      <w:tr w:rsidR="00BB39C6" w:rsidRPr="00BB39C6" w:rsidTr="00BB39C6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rPr>
                <w:color w:val="000000"/>
              </w:rPr>
            </w:pPr>
            <w:r w:rsidRPr="00BB39C6">
              <w:rPr>
                <w:color w:val="000000"/>
              </w:rPr>
              <w:t xml:space="preserve">Prihodi od prodaje proizvodai roebe te pr. usluga i prihodi od donacija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color w:val="000000"/>
              </w:rPr>
            </w:pPr>
            <w:r w:rsidRPr="00BB39C6">
              <w:rPr>
                <w:color w:val="000000"/>
              </w:rPr>
              <w:t>55.220.671,46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color w:val="000000"/>
              </w:rPr>
            </w:pPr>
            <w:r w:rsidRPr="00BB39C6">
              <w:rPr>
                <w:color w:val="000000"/>
              </w:rPr>
              <w:t>85.440,41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0%</w:t>
            </w:r>
          </w:p>
        </w:tc>
      </w:tr>
      <w:tr w:rsidR="00BB39C6" w:rsidRPr="00BB39C6" w:rsidTr="00BB39C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rPr>
                <w:color w:val="000000"/>
              </w:rPr>
            </w:pPr>
            <w:r w:rsidRPr="00BB39C6">
              <w:rPr>
                <w:color w:val="000000"/>
              </w:rPr>
              <w:t>Prihodi iz proračuna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color w:val="000000"/>
              </w:rPr>
            </w:pPr>
            <w:r w:rsidRPr="00BB39C6">
              <w:rPr>
                <w:color w:val="000000"/>
              </w:rPr>
              <w:t>170.199.342,61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color w:val="000000"/>
              </w:rPr>
            </w:pPr>
            <w:r w:rsidRPr="00BB39C6">
              <w:rPr>
                <w:color w:val="000000"/>
              </w:rPr>
              <w:t>364.835.070,63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214%</w:t>
            </w:r>
          </w:p>
        </w:tc>
      </w:tr>
      <w:tr w:rsidR="00BB39C6" w:rsidRPr="00BB39C6" w:rsidTr="00BB39C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rPr>
                <w:color w:val="000000"/>
              </w:rPr>
            </w:pPr>
            <w:r w:rsidRPr="00BB39C6">
              <w:rPr>
                <w:color w:val="000000"/>
              </w:rPr>
              <w:t>Ostali prihodi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color w:val="000000"/>
              </w:rPr>
            </w:pPr>
            <w:r w:rsidRPr="00BB39C6">
              <w:rPr>
                <w:color w:val="000000"/>
              </w:rPr>
              <w:t>779,58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color w:val="000000"/>
              </w:rPr>
            </w:pPr>
            <w:r w:rsidRPr="00BB39C6">
              <w:rPr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0%</w:t>
            </w:r>
          </w:p>
        </w:tc>
      </w:tr>
      <w:tr w:rsidR="00BB39C6" w:rsidRPr="00BB39C6" w:rsidTr="00BB39C6">
        <w:trPr>
          <w:trHeight w:val="48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b/>
                <w:bCs/>
                <w:color w:val="000000"/>
              </w:rPr>
            </w:pPr>
            <w:r w:rsidRPr="00BB39C6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b/>
                <w:bCs/>
                <w:color w:val="000000"/>
              </w:rPr>
            </w:pPr>
            <w:r w:rsidRPr="00BB39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b/>
                <w:bCs/>
                <w:color w:val="000000"/>
              </w:rPr>
            </w:pPr>
            <w:r w:rsidRPr="00BB39C6">
              <w:rPr>
                <w:b/>
                <w:bCs/>
                <w:color w:val="000000"/>
              </w:rPr>
              <w:t>232.129.702,77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9C6" w:rsidRPr="00BB39C6" w:rsidRDefault="00BB39C6" w:rsidP="00BB39C6">
            <w:pPr>
              <w:jc w:val="right"/>
              <w:rPr>
                <w:b/>
                <w:bCs/>
                <w:color w:val="000000"/>
              </w:rPr>
            </w:pPr>
            <w:r w:rsidRPr="00BB39C6">
              <w:rPr>
                <w:b/>
                <w:bCs/>
                <w:color w:val="000000"/>
              </w:rPr>
              <w:t>436.617.710,09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9C6" w:rsidRPr="00BB39C6" w:rsidRDefault="00BB39C6" w:rsidP="00BB39C6">
            <w:pPr>
              <w:jc w:val="center"/>
              <w:rPr>
                <w:color w:val="000000"/>
              </w:rPr>
            </w:pPr>
            <w:r w:rsidRPr="00BB39C6">
              <w:rPr>
                <w:color w:val="000000"/>
              </w:rPr>
              <w:t>188%</w:t>
            </w:r>
          </w:p>
        </w:tc>
      </w:tr>
    </w:tbl>
    <w:p w:rsidR="003B1143" w:rsidRPr="00E57157" w:rsidRDefault="003B1143" w:rsidP="00DF4009">
      <w:pPr>
        <w:ind w:right="-284"/>
        <w:jc w:val="both"/>
        <w:rPr>
          <w:b/>
        </w:rPr>
      </w:pPr>
    </w:p>
    <w:tbl>
      <w:tblPr>
        <w:tblW w:w="10284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5156"/>
        <w:gridCol w:w="1774"/>
        <w:gridCol w:w="1760"/>
        <w:gridCol w:w="876"/>
        <w:gridCol w:w="718"/>
      </w:tblGrid>
      <w:tr w:rsidR="007E53C3" w:rsidRPr="007E53C3" w:rsidTr="00E57157">
        <w:trPr>
          <w:trHeight w:val="315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57" w:rsidRPr="007E53C3" w:rsidRDefault="00E57157" w:rsidP="007E53C3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</w:tr>
    </w:tbl>
    <w:p w:rsidR="008E1279" w:rsidRDefault="008E1279" w:rsidP="008E1279">
      <w:pPr>
        <w:jc w:val="both"/>
      </w:pPr>
      <w:r w:rsidRPr="0042238E">
        <w:t xml:space="preserve">Od ukupnih prihoda iz proračuna dio koji se odnosi na financiranje rashoda za nabavu nefinancijske imovine je </w:t>
      </w:r>
      <w:r w:rsidR="00CF51DC">
        <w:t>54.863.022,53</w:t>
      </w:r>
      <w:r w:rsidRPr="0042238E">
        <w:t xml:space="preserve"> kn (konto 6712), a ostatak od </w:t>
      </w:r>
      <w:r w:rsidR="00CF51DC">
        <w:t>309.972.048,10</w:t>
      </w:r>
      <w:r>
        <w:t xml:space="preserve"> kn (konto 6711</w:t>
      </w:r>
      <w:r w:rsidRPr="0042238E">
        <w:t>) odnosi se prihode za financiranje rashoda poslovanja.</w:t>
      </w:r>
    </w:p>
    <w:p w:rsidR="008E1279" w:rsidRDefault="008E1279" w:rsidP="008E1279">
      <w:pPr>
        <w:jc w:val="both"/>
      </w:pPr>
    </w:p>
    <w:p w:rsidR="008E1279" w:rsidRPr="007F739C" w:rsidRDefault="008E1279" w:rsidP="008E1279">
      <w:pPr>
        <w:rPr>
          <w:sz w:val="22"/>
          <w:szCs w:val="22"/>
        </w:rPr>
      </w:pPr>
      <w:r w:rsidRPr="007F739C">
        <w:t>U</w:t>
      </w:r>
      <w:r>
        <w:t xml:space="preserve"> okviru skupine 63 evidentirana</w:t>
      </w:r>
      <w:r w:rsidRPr="007F739C">
        <w:t xml:space="preserve"> sredstva odnose se na projekte:</w:t>
      </w:r>
    </w:p>
    <w:p w:rsidR="008E1279" w:rsidRPr="007F739C" w:rsidRDefault="008E1279" w:rsidP="008E1279">
      <w:pPr>
        <w:pStyle w:val="ListParagraph"/>
        <w:numPr>
          <w:ilvl w:val="0"/>
          <w:numId w:val="9"/>
        </w:numPr>
        <w:contextualSpacing w:val="0"/>
        <w:jc w:val="both"/>
        <w:rPr>
          <w:u w:val="single"/>
        </w:rPr>
      </w:pPr>
      <w:r w:rsidRPr="007F739C">
        <w:rPr>
          <w:u w:val="single"/>
        </w:rPr>
        <w:t>Obnova obiteljskih kuća u vlasništvu RH na potresom pogođenim područjima KK.12.1.1.01.0001</w:t>
      </w:r>
    </w:p>
    <w:p w:rsidR="008E1279" w:rsidRPr="007F739C" w:rsidRDefault="008E1279" w:rsidP="008E1279">
      <w:pPr>
        <w:pStyle w:val="ListParagraph"/>
        <w:jc w:val="both"/>
      </w:pPr>
      <w:r w:rsidRPr="007F739C">
        <w:t xml:space="preserve">Dana 26. svibnja 2021. godine potpisani su Ugovori o dodjeli bespovratnih sredstava između Ministarstva regionalnog razvoja i fondova EU, Središnje agencije za financiranje i ugovaranje programa i projekata Europske unije i Središnjeg državnog ureda za obnovu i stambenu zbrinjavanje. Vrijednost Projekta iznosi 323.700.000,00 kn, od čega se iz sredstava EU fondova osigurava 307.515.000,00 kn. U sklopu projekta </w:t>
      </w:r>
      <w:r w:rsidRPr="007F739C">
        <w:lastRenderedPageBreak/>
        <w:t>predviđene odobreno je financiranje sljedeće aktivnosti: pripremne aktivnosti i izrada projektne dokumentacije, radovi na obnovi i opremanje obnovljenih obiteljskih kuća, usluge stručnog nadzora i kontrole projekata, ostali troškovi (imovinsko-pravni troškovi), upravljanje projektom te promidžba i vidljivost. Projekt se financira kroz Operativni program konkurentnost i kohezija za razdoblje 2014.-2020., te je krajnji rok njegove provedbe 31.12.2023. godine.</w:t>
      </w:r>
    </w:p>
    <w:p w:rsidR="008E1279" w:rsidRPr="007F739C" w:rsidRDefault="008E1279" w:rsidP="008E1279">
      <w:pPr>
        <w:pStyle w:val="ListParagraph"/>
      </w:pPr>
    </w:p>
    <w:p w:rsidR="008E1279" w:rsidRPr="007F739C" w:rsidRDefault="008E1279" w:rsidP="008E1279">
      <w:pPr>
        <w:pStyle w:val="ListParagraph"/>
        <w:numPr>
          <w:ilvl w:val="0"/>
          <w:numId w:val="9"/>
        </w:numPr>
        <w:contextualSpacing w:val="0"/>
        <w:rPr>
          <w:u w:val="single"/>
        </w:rPr>
      </w:pPr>
      <w:r w:rsidRPr="007F739C">
        <w:rPr>
          <w:u w:val="single"/>
        </w:rPr>
        <w:t>Uklanjanje i izgradnja zamjenskih stambenih jedinca u vlasništvu RH na potresom pogođenim područjima K.K.12.1.1.02.0001</w:t>
      </w:r>
    </w:p>
    <w:p w:rsidR="008E1279" w:rsidRDefault="008E1279" w:rsidP="008E1279">
      <w:pPr>
        <w:pStyle w:val="ListParagraph"/>
        <w:jc w:val="both"/>
      </w:pPr>
      <w:r w:rsidRPr="007F739C">
        <w:t>Dana 26. svibnja 2021. godine potpisani su Ugovori o dodjeli bespovratnih sredstava između Ministarstva regionalnog razvoja i fondova EU, Središnje agencije za financiranje i ugovaranje programa i projekata Europske unije i Središnjeg državnog ureda za obnovu i stambenu zbrinjavanje. Vrijednost Projekta iznosi 348.600.000,00 kn, od čega se iz sredstava EU fondova osigurava 331.170.000 kn. U sklopu projekta predviđene odobreno je financiranje sljedeće aktivnosti: pripremne aktivnosti i izrada projektne dokumentacije, radovi na obnovi i opremanje obnovljenih obiteljskih kuća, usluge stručnog nadzora i kontrole projekata, ostali troškovi (imovinsko-pravni troškovi), upravljanje projektom te promidžba i vidljivost. Projekt se financira kroz Operativni program konkurentnost i kohezija za razdoblje 2014.-2020. te je krajnji rok njegove provedbe 31.12.2023. godine.</w:t>
      </w:r>
    </w:p>
    <w:p w:rsidR="008E1279" w:rsidRPr="007F739C" w:rsidRDefault="008E1279" w:rsidP="008E1279">
      <w:pPr>
        <w:pStyle w:val="ListParagraph"/>
      </w:pPr>
    </w:p>
    <w:p w:rsidR="008E1279" w:rsidRPr="007F739C" w:rsidRDefault="008E1279" w:rsidP="008E1279">
      <w:r>
        <w:t>Nevedeni rashodi financiraju se iz izvora financiranja 563 – Europski fond za regionalni razvoj (EFRR)</w:t>
      </w:r>
      <w:r w:rsidR="00CF51DC">
        <w:t>, a</w:t>
      </w:r>
      <w:r w:rsidR="00744CB0">
        <w:t xml:space="preserve"> do</w:t>
      </w:r>
      <w:r w:rsidR="00CF51DC">
        <w:t xml:space="preserve"> 31</w:t>
      </w:r>
      <w:r w:rsidR="00EF3199">
        <w:t>.</w:t>
      </w:r>
      <w:r w:rsidR="00CF51DC">
        <w:t>12</w:t>
      </w:r>
      <w:r>
        <w:t xml:space="preserve">.2022. evidentiran je iznos od </w:t>
      </w:r>
      <w:r w:rsidR="00CF51DC">
        <w:t>69.060.692,90</w:t>
      </w:r>
      <w:r>
        <w:t xml:space="preserve"> kn.</w:t>
      </w:r>
    </w:p>
    <w:p w:rsidR="008E1279" w:rsidRDefault="008E1279" w:rsidP="008E1279">
      <w:pPr>
        <w:ind w:firstLine="720"/>
        <w:jc w:val="both"/>
      </w:pPr>
    </w:p>
    <w:p w:rsidR="008E1279" w:rsidRPr="0039293A" w:rsidRDefault="008E1279" w:rsidP="008E1279">
      <w:pPr>
        <w:jc w:val="both"/>
      </w:pPr>
      <w:r>
        <w:t xml:space="preserve">Osim navedenog, u okviru skupine 63 evidentiran je i prihod u okviru izvora financiranja 581 –Mehanizam za oporavak i otpornost – NPOO. </w:t>
      </w:r>
      <w:r w:rsidRPr="0039293A">
        <w:t xml:space="preserve">Financijska  sredstva u iznosu od </w:t>
      </w:r>
      <w:r w:rsidR="00EF3199">
        <w:t>1.043.588,57</w:t>
      </w:r>
      <w:r w:rsidRPr="0039293A">
        <w:t xml:space="preserve"> kuna utrošena su na provedbu Programa suzbijanja energetskog siromaštva koji uključuje korištenje obnovljivih izvora energije u stambenim zgradama na potpomognutim područjima i područjima posebne državne skrbi za razdoblje do 2025. godine. Program se financira iz Nacionalnog programa oporavka i otpornosti a </w:t>
      </w:r>
      <w:r>
        <w:t>2022. godini  financirane su slij</w:t>
      </w:r>
      <w:r w:rsidRPr="0039293A">
        <w:t>edeće aktivnosti:</w:t>
      </w:r>
    </w:p>
    <w:p w:rsidR="008E1279" w:rsidRPr="0039293A" w:rsidRDefault="008E1279" w:rsidP="008E1279">
      <w:pPr>
        <w:jc w:val="both"/>
      </w:pPr>
      <w:r w:rsidRPr="0039293A">
        <w:t>Izrada projekata energetske obnove</w:t>
      </w:r>
      <w:r>
        <w:t>,</w:t>
      </w:r>
      <w:r w:rsidRPr="003575BA">
        <w:t xml:space="preserve"> </w:t>
      </w:r>
      <w:r w:rsidRPr="0039293A">
        <w:t>Projektantski nadzor</w:t>
      </w:r>
      <w:r>
        <w:t xml:space="preserve"> i </w:t>
      </w:r>
      <w:r w:rsidRPr="0039293A">
        <w:t>Energetski pregled i izrada energetskog certifikata prije obnove</w:t>
      </w:r>
      <w:r>
        <w:t>.</w:t>
      </w:r>
      <w:r w:rsidRPr="0039293A">
        <w:t xml:space="preserve"> </w:t>
      </w:r>
    </w:p>
    <w:p w:rsidR="008E1279" w:rsidRDefault="008E1279" w:rsidP="008E1279">
      <w:pPr>
        <w:ind w:right="-284"/>
        <w:jc w:val="both"/>
        <w:rPr>
          <w:u w:val="single"/>
        </w:rPr>
      </w:pPr>
    </w:p>
    <w:p w:rsidR="008E1279" w:rsidRPr="008300FE" w:rsidRDefault="008E1279" w:rsidP="008E1279">
      <w:pPr>
        <w:jc w:val="both"/>
      </w:pPr>
      <w:r>
        <w:t xml:space="preserve">        Iznos od </w:t>
      </w:r>
      <w:r w:rsidR="005D0703">
        <w:t>85.440,41</w:t>
      </w:r>
      <w:r>
        <w:t xml:space="preserve"> kn</w:t>
      </w:r>
      <w:r w:rsidR="00C03B79">
        <w:t xml:space="preserve"> u okviru skupine 66</w:t>
      </w:r>
      <w:r>
        <w:t xml:space="preserve"> odnosi se na donacijska financijska sredstva prikupljena tijekom 2022. godine koja su na račun državnog proračuna RH uplaćena u akciji „Pomoć za obnovu nakon potresa“, a koja su namijenjena za sanaciju posljedica potresa. Temeljem Odluke o raspodjeli donacija financijskih sredstava uplaćenih na račun državnog proračuna u akciji „Pomoć za obnovu nakon potresa“ (NN 20/2021) financijska sredstva raspodijeljena su na pozicije Središnjeg državnog ureda za obnovu i stambeno zbrinjavanje, a koriste se za nekonstrukcijsku obnovu privatnih obiteljskih stambenih jedinica na potresom pogođenom području. Sredstva su evidentirana na izvoru financiranja 61- donacije. Glavnina donacijskih sredstava uplaćena je krajem 2020. i tijekom 2021. godine. Stanje neutrošenih sredstava donacija na dan </w:t>
      </w:r>
      <w:r w:rsidR="005D0703">
        <w:t>31.12.2022</w:t>
      </w:r>
      <w:r>
        <w:t xml:space="preserve">. je </w:t>
      </w:r>
      <w:r w:rsidR="005D0703">
        <w:t>5.725,00</w:t>
      </w:r>
      <w:r>
        <w:t xml:space="preserve"> kn.</w:t>
      </w:r>
    </w:p>
    <w:p w:rsidR="008E1279" w:rsidRDefault="008E1279" w:rsidP="008E1279">
      <w:pPr>
        <w:ind w:right="-284"/>
        <w:jc w:val="both"/>
        <w:rPr>
          <w:u w:val="single"/>
        </w:rPr>
      </w:pPr>
    </w:p>
    <w:p w:rsidR="008E1279" w:rsidRDefault="008E1279" w:rsidP="008E1279">
      <w:pPr>
        <w:spacing w:line="259" w:lineRule="auto"/>
        <w:ind w:right="-284"/>
        <w:jc w:val="both"/>
      </w:pPr>
    </w:p>
    <w:p w:rsidR="00822FE0" w:rsidRDefault="00822FE0" w:rsidP="00DF4009">
      <w:pPr>
        <w:ind w:left="1134" w:right="-284" w:hanging="1134"/>
        <w:jc w:val="both"/>
      </w:pPr>
    </w:p>
    <w:p w:rsidR="00FB3043" w:rsidRDefault="00FB3043" w:rsidP="00DF4009">
      <w:pPr>
        <w:ind w:left="1134" w:right="-284" w:hanging="1134"/>
        <w:jc w:val="both"/>
      </w:pPr>
    </w:p>
    <w:p w:rsidR="00FB3043" w:rsidRDefault="00FB3043" w:rsidP="00DF4009">
      <w:pPr>
        <w:ind w:left="1134" w:right="-284" w:hanging="1134"/>
        <w:jc w:val="both"/>
      </w:pPr>
    </w:p>
    <w:p w:rsidR="00FB3043" w:rsidRDefault="00FB3043" w:rsidP="00DF4009">
      <w:pPr>
        <w:ind w:left="1134" w:right="-284" w:hanging="1134"/>
        <w:jc w:val="both"/>
      </w:pPr>
    </w:p>
    <w:p w:rsidR="00FB3043" w:rsidRDefault="00FB3043" w:rsidP="00DF4009">
      <w:pPr>
        <w:ind w:left="1134" w:right="-284" w:hanging="1134"/>
        <w:jc w:val="both"/>
      </w:pPr>
    </w:p>
    <w:p w:rsidR="000F2EC6" w:rsidRPr="001935CC" w:rsidRDefault="001935CC" w:rsidP="00A443DB">
      <w:pPr>
        <w:jc w:val="both"/>
        <w:rPr>
          <w:b/>
        </w:rPr>
      </w:pPr>
      <w:r w:rsidRPr="001935CC">
        <w:rPr>
          <w:b/>
        </w:rPr>
        <w:lastRenderedPageBreak/>
        <w:t>RASHODI POSLOVANJA</w:t>
      </w:r>
    </w:p>
    <w:p w:rsidR="000F2EC6" w:rsidRDefault="000F2EC6" w:rsidP="00A443DB">
      <w:pPr>
        <w:jc w:val="both"/>
      </w:pPr>
    </w:p>
    <w:p w:rsidR="000F2EC6" w:rsidRDefault="000F2EC6" w:rsidP="00A443DB">
      <w:pPr>
        <w:jc w:val="both"/>
      </w:pPr>
    </w:p>
    <w:p w:rsidR="00266DFE" w:rsidRDefault="0077697D" w:rsidP="00A443DB">
      <w:pPr>
        <w:jc w:val="both"/>
      </w:pPr>
      <w:r w:rsidRPr="0077697D">
        <w:t>Rashodi poslovanja i rashodi za nabavku nefinancijske imovine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790"/>
        <w:gridCol w:w="3551"/>
        <w:gridCol w:w="1716"/>
        <w:gridCol w:w="1716"/>
        <w:gridCol w:w="931"/>
        <w:gridCol w:w="816"/>
      </w:tblGrid>
      <w:tr w:rsidR="002807F0" w:rsidRPr="002807F0" w:rsidTr="002807F0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Redni broj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Rashodi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Ostvareno 2021.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Ostvareno 2022.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Ind.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Grupa konta</w:t>
            </w:r>
          </w:p>
        </w:tc>
      </w:tr>
      <w:tr w:rsidR="002807F0" w:rsidRPr="002807F0" w:rsidTr="002807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rPr>
                <w:color w:val="000000"/>
              </w:rPr>
            </w:pPr>
            <w:r w:rsidRPr="002807F0">
              <w:rPr>
                <w:color w:val="000000"/>
              </w:rPr>
              <w:t>Rashodi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 </w:t>
            </w:r>
          </w:p>
        </w:tc>
      </w:tr>
      <w:tr w:rsidR="002807F0" w:rsidRPr="002807F0" w:rsidTr="002807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rPr>
                <w:color w:val="000000"/>
              </w:rPr>
            </w:pPr>
            <w:r w:rsidRPr="002807F0">
              <w:rPr>
                <w:color w:val="000000"/>
              </w:rPr>
              <w:t>Rashodi za zaposlene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20.349.749,89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23.779.535,11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116,85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31</w:t>
            </w:r>
          </w:p>
        </w:tc>
      </w:tr>
      <w:tr w:rsidR="002807F0" w:rsidRPr="002807F0" w:rsidTr="002807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rPr>
                <w:color w:val="000000"/>
              </w:rPr>
            </w:pPr>
            <w:r w:rsidRPr="002807F0">
              <w:rPr>
                <w:color w:val="000000"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33.505.005,19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3F13AC" w:rsidP="002807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58.238.954,47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173,82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32</w:t>
            </w:r>
          </w:p>
        </w:tc>
      </w:tr>
      <w:tr w:rsidR="002807F0" w:rsidRPr="002807F0" w:rsidTr="002807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rPr>
                <w:color w:val="000000"/>
              </w:rPr>
            </w:pPr>
            <w:r w:rsidRPr="002807F0">
              <w:rPr>
                <w:color w:val="000000"/>
              </w:rPr>
              <w:t>Financijski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6.773,67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1.247,83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18,42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34</w:t>
            </w:r>
          </w:p>
        </w:tc>
      </w:tr>
      <w:tr w:rsidR="002807F0" w:rsidRPr="002807F0" w:rsidTr="002807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DA421D" w:rsidRDefault="002807F0" w:rsidP="002807F0">
            <w:r w:rsidRPr="00DA421D">
              <w:t>Pomoći unutar države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DA421D" w:rsidRDefault="002807F0" w:rsidP="002807F0">
            <w:pPr>
              <w:jc w:val="right"/>
            </w:pPr>
            <w:r w:rsidRPr="00DA421D">
              <w:t>13.915.988,18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DA421D" w:rsidRDefault="00DA421D" w:rsidP="002807F0">
            <w:pPr>
              <w:jc w:val="right"/>
            </w:pPr>
            <w:r w:rsidRPr="00DA421D">
              <w:t>28.446.030,19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DA421D" w:rsidRDefault="008C539F" w:rsidP="002807F0">
            <w:pPr>
              <w:jc w:val="right"/>
            </w:pPr>
            <w:r>
              <w:t>204,41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DA421D" w:rsidRDefault="002807F0" w:rsidP="002807F0">
            <w:pPr>
              <w:jc w:val="center"/>
            </w:pPr>
            <w:r w:rsidRPr="00DA421D">
              <w:t>36</w:t>
            </w:r>
          </w:p>
        </w:tc>
      </w:tr>
      <w:tr w:rsidR="002807F0" w:rsidRPr="002807F0" w:rsidTr="002807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DA421D" w:rsidRDefault="002807F0" w:rsidP="002807F0">
            <w:r w:rsidRPr="00DA421D">
              <w:t xml:space="preserve">Naknade građanima i kućanstvima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DA421D" w:rsidRDefault="002807F0" w:rsidP="002807F0">
            <w:pPr>
              <w:jc w:val="right"/>
            </w:pPr>
            <w:r w:rsidRPr="00DA421D">
              <w:t>92.600,00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DA421D" w:rsidRDefault="00DA421D" w:rsidP="002807F0">
            <w:pPr>
              <w:jc w:val="right"/>
            </w:pPr>
            <w:r w:rsidRPr="00DA421D">
              <w:t>83.050,32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DA421D" w:rsidRDefault="008C539F" w:rsidP="002807F0">
            <w:pPr>
              <w:jc w:val="right"/>
            </w:pPr>
            <w:r>
              <w:t>89,69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DA421D" w:rsidRDefault="002807F0" w:rsidP="002807F0">
            <w:pPr>
              <w:jc w:val="center"/>
            </w:pPr>
            <w:r w:rsidRPr="00DA421D">
              <w:t>37</w:t>
            </w:r>
          </w:p>
        </w:tc>
      </w:tr>
      <w:tr w:rsidR="002807F0" w:rsidRPr="002807F0" w:rsidTr="002807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rPr>
                <w:color w:val="000000"/>
              </w:rPr>
            </w:pPr>
            <w:r w:rsidRPr="002807F0">
              <w:rPr>
                <w:color w:val="000000"/>
              </w:rPr>
              <w:t>Ostali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102.579.869,08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282.680.175,24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275,57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38</w:t>
            </w:r>
          </w:p>
        </w:tc>
      </w:tr>
      <w:tr w:rsidR="002807F0" w:rsidRPr="002807F0" w:rsidTr="002807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rPr>
                <w:color w:val="000000"/>
              </w:rPr>
            </w:pPr>
            <w:r w:rsidRPr="002807F0">
              <w:rPr>
                <w:color w:val="000000"/>
              </w:rPr>
              <w:t>Rashodi poslovanja ukupno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b/>
                <w:bCs/>
                <w:color w:val="000000"/>
              </w:rPr>
            </w:pPr>
            <w:r w:rsidRPr="002807F0">
              <w:rPr>
                <w:b/>
                <w:bCs/>
                <w:color w:val="000000"/>
              </w:rPr>
              <w:t>170.449.986,01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b/>
                <w:bCs/>
                <w:color w:val="000000"/>
              </w:rPr>
            </w:pPr>
            <w:r w:rsidRPr="002807F0">
              <w:rPr>
                <w:b/>
                <w:bCs/>
                <w:color w:val="000000"/>
              </w:rPr>
              <w:t>388.333.993,25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227,83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3</w:t>
            </w:r>
          </w:p>
        </w:tc>
      </w:tr>
      <w:tr w:rsidR="002807F0" w:rsidRPr="002807F0" w:rsidTr="002807F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rPr>
                <w:color w:val="000000"/>
              </w:rPr>
            </w:pPr>
            <w:r w:rsidRPr="002807F0">
              <w:rPr>
                <w:color w:val="000000"/>
              </w:rPr>
              <w:t>Rashodi za nabavku nefinancijske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b/>
                <w:bCs/>
                <w:color w:val="000000"/>
              </w:rPr>
            </w:pPr>
            <w:r w:rsidRPr="002807F0">
              <w:rPr>
                <w:b/>
                <w:bCs/>
                <w:color w:val="000000"/>
              </w:rPr>
              <w:t>47.128.425,78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3F13AC" w:rsidP="002807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142.361.335,83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color w:val="000000"/>
              </w:rPr>
            </w:pPr>
            <w:r w:rsidRPr="002807F0">
              <w:rPr>
                <w:color w:val="000000"/>
              </w:rPr>
              <w:t>302,07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4</w:t>
            </w:r>
          </w:p>
        </w:tc>
      </w:tr>
      <w:tr w:rsidR="002807F0" w:rsidRPr="002807F0" w:rsidTr="002807F0">
        <w:trPr>
          <w:trHeight w:val="4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b/>
                <w:bCs/>
                <w:color w:val="000000"/>
              </w:rPr>
            </w:pPr>
            <w:r w:rsidRPr="002807F0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7F0" w:rsidRPr="002807F0" w:rsidRDefault="002807F0" w:rsidP="002807F0">
            <w:pPr>
              <w:jc w:val="right"/>
              <w:rPr>
                <w:b/>
                <w:bCs/>
                <w:color w:val="000000"/>
              </w:rPr>
            </w:pPr>
            <w:r w:rsidRPr="002807F0">
              <w:rPr>
                <w:b/>
                <w:bCs/>
                <w:color w:val="000000"/>
              </w:rPr>
              <w:t>217.578.411,79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7F0" w:rsidRPr="002807F0" w:rsidRDefault="00E15D28" w:rsidP="003F1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535.590</w:t>
            </w:r>
            <w:r w:rsidR="002807F0" w:rsidRPr="002807F0">
              <w:rPr>
                <w:b/>
                <w:bCs/>
                <w:color w:val="000000"/>
              </w:rPr>
              <w:t>.32</w:t>
            </w:r>
            <w:r w:rsidR="003F13AC">
              <w:rPr>
                <w:b/>
                <w:bCs/>
                <w:color w:val="000000"/>
              </w:rPr>
              <w:t>8</w:t>
            </w:r>
            <w:r w:rsidR="002807F0" w:rsidRPr="002807F0">
              <w:rPr>
                <w:b/>
                <w:bCs/>
                <w:color w:val="000000"/>
              </w:rPr>
              <w:t>,</w:t>
            </w:r>
            <w:r w:rsidR="003F13AC">
              <w:rPr>
                <w:b/>
                <w:bCs/>
                <w:color w:val="000000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F0" w:rsidRPr="002807F0" w:rsidRDefault="008C539F" w:rsidP="008C5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7F0" w:rsidRPr="002807F0" w:rsidRDefault="002807F0" w:rsidP="002807F0">
            <w:pPr>
              <w:jc w:val="center"/>
              <w:rPr>
                <w:color w:val="000000"/>
              </w:rPr>
            </w:pPr>
            <w:r w:rsidRPr="002807F0">
              <w:rPr>
                <w:color w:val="000000"/>
              </w:rPr>
              <w:t>3+4</w:t>
            </w:r>
          </w:p>
        </w:tc>
      </w:tr>
    </w:tbl>
    <w:p w:rsidR="00EB203D" w:rsidRDefault="00EB203D" w:rsidP="00EB203D">
      <w:pPr>
        <w:ind w:right="-284"/>
        <w:jc w:val="both"/>
      </w:pPr>
    </w:p>
    <w:p w:rsidR="00EB203D" w:rsidRDefault="00EB203D" w:rsidP="00EB203D">
      <w:pPr>
        <w:ind w:right="-284"/>
        <w:jc w:val="both"/>
      </w:pPr>
    </w:p>
    <w:p w:rsidR="00EB203D" w:rsidRDefault="00EB203D" w:rsidP="00EB203D">
      <w:pPr>
        <w:ind w:right="-284"/>
        <w:jc w:val="both"/>
      </w:pPr>
      <w:r>
        <w:t xml:space="preserve">U Središnjem državnom uredu za obnovu i stambeno zbrinjavanje na dan 31. prosinca 2022. godine bilo je zaposleno </w:t>
      </w:r>
      <w:r w:rsidR="00EA47D3">
        <w:t>158</w:t>
      </w:r>
      <w:r>
        <w:t xml:space="preserve"> državnih službenika i namještenika te državni tajnik (dužnosnik).</w:t>
      </w:r>
    </w:p>
    <w:p w:rsidR="00EB203D" w:rsidRDefault="00EB203D" w:rsidP="00EB203D">
      <w:pPr>
        <w:ind w:right="-284"/>
        <w:jc w:val="both"/>
      </w:pPr>
    </w:p>
    <w:p w:rsidR="00EB203D" w:rsidRDefault="00EB203D" w:rsidP="00EB203D">
      <w:pPr>
        <w:ind w:right="-284"/>
        <w:jc w:val="both"/>
      </w:pPr>
      <w:r>
        <w:t>Ra</w:t>
      </w:r>
      <w:r w:rsidR="007C6F6D">
        <w:t>shodi za zaposlene veći su za 16</w:t>
      </w:r>
      <w:r>
        <w:t>% u odnosu na isto razdoblje prethodne godine budući da je od 15. travnja stupila na snagu Uredba o izmjenama i dopunama uredbe o nazivima radnih mjesta i koeficijentima složenosti poslova u državnoj službi (NN 13/2022) kojom su povećani koeficijenti radnih mjesta djelatnicima zaposlenim na poslovima obnove nakon potresa.</w:t>
      </w:r>
    </w:p>
    <w:p w:rsidR="00EB203D" w:rsidRDefault="00EB203D" w:rsidP="00EB203D">
      <w:pPr>
        <w:ind w:right="-284"/>
        <w:jc w:val="both"/>
      </w:pPr>
    </w:p>
    <w:p w:rsidR="00EB203D" w:rsidRDefault="00EB203D" w:rsidP="00EB203D">
      <w:pPr>
        <w:ind w:right="-284"/>
        <w:jc w:val="both"/>
      </w:pPr>
      <w:r>
        <w:t>Većina materijalnih rashoda na skupini</w:t>
      </w:r>
      <w:r w:rsidRPr="0042238E">
        <w:t xml:space="preserve"> 32 odnosi se na podmirivanje pričuve i drugih režijskih troškova za oko 10.000 stambenih jedinica u državnom vlasništvu koje su u nadležnosti </w:t>
      </w:r>
      <w:r>
        <w:t>Središnjeg d</w:t>
      </w:r>
      <w:r w:rsidRPr="0042238E">
        <w:t xml:space="preserve">ržavnog ureda za </w:t>
      </w:r>
      <w:r>
        <w:t>obnovu i stambeno zbrinjavanje, za režijske troškove i tekuće održavanje stambenih jedinica u kojima su smješteni korisnici čija je imovina oštećena u potresu, za  najamnine i režijske troškove stambenog zbrinjavanja osoba sa odobrenom međunarodnom zaštitom, kao i rashode najamnina, režijskih troškova žrtava nasilja u obitelji i održavanja poslovnih prostora SDUOSZ-a u Zagrebu i područnim službama.</w:t>
      </w:r>
    </w:p>
    <w:p w:rsidR="00EB203D" w:rsidRDefault="00EB203D" w:rsidP="00EB203D">
      <w:pPr>
        <w:ind w:right="-284"/>
        <w:jc w:val="both"/>
      </w:pPr>
    </w:p>
    <w:p w:rsidR="00EB203D" w:rsidRDefault="00EB203D" w:rsidP="00EB203D">
      <w:pPr>
        <w:ind w:right="-284"/>
        <w:jc w:val="both"/>
      </w:pPr>
      <w:r>
        <w:t xml:space="preserve">U okviru skupine 32 na stavci 3233 – usluge promidžbe i informiranja evidentirano je povećanje  u znatnom iznosu u odnosu na prethodnu godinu, jer se sredstva s predmetne pozicije u 2022. godini u najvećem dijelu koriste za podmirenje rashoda za usluge snimanja, produkcije i  montaže reportaža o poslovima obnove stambenih jedinica oštećenih u potresu, kojih u istom razdoblju prethodne godine </w:t>
      </w:r>
      <w:r w:rsidR="00CD536F">
        <w:t>bilo manje.</w:t>
      </w:r>
    </w:p>
    <w:p w:rsidR="00EB203D" w:rsidRDefault="00EB203D" w:rsidP="00EB203D">
      <w:pPr>
        <w:ind w:right="-284"/>
        <w:jc w:val="both"/>
      </w:pPr>
    </w:p>
    <w:p w:rsidR="009F60B6" w:rsidRDefault="00EB203D" w:rsidP="009F60B6">
      <w:pPr>
        <w:ind w:right="-284"/>
        <w:jc w:val="both"/>
      </w:pPr>
      <w:r>
        <w:t xml:space="preserve">Na rashodima za uredski materijal i ostale materijalne rashode (kto 3221) evidentirano je povećanje od </w:t>
      </w:r>
      <w:r w:rsidR="00CD536F">
        <w:t>25,7</w:t>
      </w:r>
      <w:r>
        <w:t>% iz razloga jer je najavljena moguća nestašica i značajno povećanje cijena  kopirnog papira pa su naručene veće količine.</w:t>
      </w:r>
    </w:p>
    <w:p w:rsidR="00EB203D" w:rsidRDefault="00EB203D" w:rsidP="009F60B6">
      <w:pPr>
        <w:ind w:right="-284"/>
        <w:jc w:val="both"/>
      </w:pPr>
      <w:r>
        <w:t>Rashodi za zdravstvene usluge veći su od istih u prethodnoj godini iz razloga što su tokom 2022. djelatnici upućeni na sistematske preglede, a i zbog rashoda za zdrastvene preglede kod novog zapošljavanja kojeg je bilo više nego prethodne godine.</w:t>
      </w:r>
    </w:p>
    <w:p w:rsidR="00EB203D" w:rsidRDefault="00EB203D" w:rsidP="00EB203D">
      <w:pPr>
        <w:jc w:val="both"/>
      </w:pPr>
    </w:p>
    <w:p w:rsidR="00EB203D" w:rsidRDefault="00EB203D" w:rsidP="00EB203D">
      <w:pPr>
        <w:jc w:val="both"/>
      </w:pPr>
      <w:r>
        <w:t>Na rashodima za intelektualne i osobne usluge (kto 3237) evidentirano je znatno povećanje rashoda iz razloga što je angažiran veći broj izvršitelja temeljem ugovora o dj</w:t>
      </w:r>
      <w:r w:rsidR="001F5CD3">
        <w:t>elu,</w:t>
      </w:r>
      <w:r>
        <w:t>zbog povećanja obima poslovanja vezano uz poslove obnove od potresa, a istodobno je na snazi zabrana zapošljavanja u državnoj službi. Ugovori o djelu bili su na snazi do 31.03.2022. g. i nisu potpisani novi.</w:t>
      </w:r>
      <w:r w:rsidR="009F6158">
        <w:t xml:space="preserve"> Osim navedenoga u 2022. godini evidentirani su rashodi usluga upravljanja projektima financiranih iz </w:t>
      </w:r>
      <w:r w:rsidR="008F3FD9">
        <w:t>izvora financiranja „Europski fond za regionalni razvoj“ (</w:t>
      </w:r>
      <w:r w:rsidR="00166314">
        <w:t>izvor fin.</w:t>
      </w:r>
      <w:r w:rsidR="008F3FD9">
        <w:t>563</w:t>
      </w:r>
      <w:r w:rsidR="00166314">
        <w:t xml:space="preserve"> i 12</w:t>
      </w:r>
      <w:r w:rsidR="008F3FD9">
        <w:t>).</w:t>
      </w:r>
    </w:p>
    <w:p w:rsidR="00EB203D" w:rsidRDefault="00EB203D" w:rsidP="00EB203D">
      <w:pPr>
        <w:ind w:right="-284"/>
        <w:jc w:val="both"/>
      </w:pPr>
    </w:p>
    <w:p w:rsidR="00EB203D" w:rsidRDefault="00EB203D" w:rsidP="00EB203D">
      <w:pPr>
        <w:jc w:val="both"/>
      </w:pPr>
      <w:r>
        <w:t xml:space="preserve">Troškovi sudskih postupaka (kto 3296) </w:t>
      </w:r>
      <w:r w:rsidR="00A44D52">
        <w:t xml:space="preserve">znatno su viši </w:t>
      </w:r>
      <w:r>
        <w:t xml:space="preserve">u odnosu na isto razdoblje prethodne godine iz razloga </w:t>
      </w:r>
      <w:r w:rsidR="00A44D52">
        <w:t xml:space="preserve">jer je </w:t>
      </w:r>
      <w:r>
        <w:t xml:space="preserve">tijekom </w:t>
      </w:r>
      <w:r w:rsidR="00A44D52">
        <w:t>2022.</w:t>
      </w:r>
      <w:r w:rsidR="00112EB7">
        <w:t xml:space="preserve"> godine</w:t>
      </w:r>
      <w:r w:rsidR="00A44D52">
        <w:t xml:space="preserve"> okončano više presuda na teret RH </w:t>
      </w:r>
      <w:r>
        <w:t xml:space="preserve">značajnijih financijskih iznosa, te </w:t>
      </w:r>
      <w:r w:rsidR="00112EB7">
        <w:t>su izvršene uplate po presudama (Istraturist, Rovinj</w:t>
      </w:r>
      <w:r w:rsidR="0072770D">
        <w:t>,</w:t>
      </w:r>
      <w:r w:rsidR="00112EB7">
        <w:t xml:space="preserve"> isplaćeno po presudi u iznosu od 24.878.556,50 kn).</w:t>
      </w:r>
    </w:p>
    <w:p w:rsidR="00EB203D" w:rsidRDefault="00EB203D" w:rsidP="00EB203D">
      <w:pPr>
        <w:ind w:right="-284"/>
        <w:jc w:val="both"/>
      </w:pPr>
    </w:p>
    <w:p w:rsidR="008A49A9" w:rsidRDefault="00EB203D" w:rsidP="00EB203D">
      <w:pPr>
        <w:jc w:val="both"/>
      </w:pPr>
      <w:r>
        <w:t>Na a</w:t>
      </w:r>
      <w:r w:rsidRPr="00F97605">
        <w:t>ktivnost</w:t>
      </w:r>
      <w:r>
        <w:t>i</w:t>
      </w:r>
      <w:r w:rsidRPr="00F97605">
        <w:t xml:space="preserve"> koja se odnosi na provedbu programa pomoći povratku Hrvata u Bosnu i Hercegovinu, </w:t>
      </w:r>
      <w:r>
        <w:t>stavka 3612</w:t>
      </w:r>
      <w:r w:rsidR="00F7613F">
        <w:t>,</w:t>
      </w:r>
      <w:r w:rsidR="008A49A9">
        <w:t xml:space="preserve"> tijekom 2022</w:t>
      </w:r>
      <w:r w:rsidRPr="00F97605">
        <w:t xml:space="preserve">. godine </w:t>
      </w:r>
      <w:r w:rsidR="008A49A9">
        <w:t>fakturirano je 2.847.030,19 kn</w:t>
      </w:r>
      <w:r w:rsidRPr="00F97605">
        <w:t xml:space="preserve"> troškova isporučitelja građevnog materijala i usluga stručnog nadzora</w:t>
      </w:r>
      <w:r w:rsidR="008A49A9">
        <w:t>. Ostatak u iznosu od 4.599.000,00 kn isplaćen je korisnicima 55 Ugovora o dodjeli financijske potpore projektima za poticanje povratka Hrvata i stvaranje održivih uvjeta života u BiH.</w:t>
      </w:r>
    </w:p>
    <w:p w:rsidR="00EB203D" w:rsidRDefault="00EB203D" w:rsidP="00EB203D">
      <w:pPr>
        <w:ind w:right="-284"/>
        <w:jc w:val="both"/>
        <w:rPr>
          <w:color w:val="FF0000"/>
        </w:rPr>
      </w:pPr>
    </w:p>
    <w:p w:rsidR="00DD5F95" w:rsidRPr="00DD5F95" w:rsidRDefault="00DD5F95" w:rsidP="00EB203D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U  okviru stavke 3631 u iznosu od 15.000.000,00 kn evidentirane su isplate prema 4 županije i Gradu Zagrebu koje se odnose na provedbu Odluke Vlade Republike Hrvatske o jednokratnoj novčanoj pomoći osobama u privremenom smještaju za stradale u potresu, od 22. prosinca 2022. godine. </w:t>
      </w:r>
      <w:r w:rsidR="00EA71CE">
        <w:rPr>
          <w:color w:val="000000" w:themeColor="text1"/>
        </w:rPr>
        <w:t>Na istoj stavci prethodne godine nije bilo rashoda.</w:t>
      </w:r>
    </w:p>
    <w:p w:rsidR="00EB203D" w:rsidRDefault="00EB203D" w:rsidP="00EB203D">
      <w:pPr>
        <w:ind w:right="-284"/>
        <w:jc w:val="both"/>
      </w:pPr>
    </w:p>
    <w:p w:rsidR="00EB203D" w:rsidRPr="006C19CB" w:rsidRDefault="00EB203D" w:rsidP="00EB203D">
      <w:pPr>
        <w:jc w:val="both"/>
      </w:pPr>
      <w:r w:rsidRPr="006C19CB">
        <w:t>Iznos evidentiran na stavci ostalih rashod</w:t>
      </w:r>
      <w:r w:rsidR="005C451F" w:rsidRPr="006C19CB">
        <w:t>a skupina 3822 od 281.943.872,38</w:t>
      </w:r>
      <w:r w:rsidRPr="006C19CB">
        <w:t xml:space="preserve"> kn odnosi se na troškove za obnovu  kuća oštećenih u potresu-nekonstrukcijska i konstrukcijska obnova, obnova i izgradnja u ratu oštećenih kuća IV- VI kategorija, troškove dodjele osnovnog građevinskog materijala za popravak i izgradnju obiteljskih k</w:t>
      </w:r>
      <w:r w:rsidR="005C451F" w:rsidRPr="006C19CB">
        <w:t>uća. Tijekom</w:t>
      </w:r>
      <w:r w:rsidRPr="006C19CB">
        <w:t xml:space="preserve"> 2022. godine intenzivirali su se radovi na programu obnove oštećenih nekonstrukcijskih elemenata</w:t>
      </w:r>
      <w:r w:rsidR="006C19CB" w:rsidRPr="006C19CB">
        <w:t xml:space="preserve"> i konstrukcijske obnove </w:t>
      </w:r>
      <w:r w:rsidRPr="006C19CB">
        <w:t xml:space="preserve"> na obiteljskim kućama gdje se intenzitet radova u odnosu na 2021. godinu značajno povećao, na način da su pravovremeno provedeni postupci ugovaranja za sve sudionike programa kako za izvršenje usluga operativne koordinacije, projektiranja i stručnog nadzora tako i za izvođenje radova. </w:t>
      </w:r>
    </w:p>
    <w:p w:rsidR="00EB203D" w:rsidRPr="00F85C8E" w:rsidRDefault="00EB203D" w:rsidP="00EB203D">
      <w:pPr>
        <w:jc w:val="both"/>
        <w:rPr>
          <w:color w:val="C0504D" w:themeColor="accent2"/>
          <w:sz w:val="22"/>
          <w:szCs w:val="22"/>
        </w:rPr>
      </w:pPr>
    </w:p>
    <w:p w:rsidR="00EB203D" w:rsidRDefault="00EB203D" w:rsidP="00EB203D">
      <w:pPr>
        <w:jc w:val="both"/>
      </w:pPr>
      <w:r w:rsidRPr="006943FA">
        <w:t>Za nabavku ne</w:t>
      </w:r>
      <w:r>
        <w:t>financijske imovine,</w:t>
      </w:r>
      <w:r w:rsidR="00970C79">
        <w:t xml:space="preserve"> stavka</w:t>
      </w:r>
      <w:r w:rsidR="006C19CB">
        <w:t xml:space="preserve"> 4211</w:t>
      </w:r>
      <w:r w:rsidR="00982A9D">
        <w:t xml:space="preserve"> </w:t>
      </w:r>
      <w:r w:rsidR="006C19CB">
        <w:t>u 2022. godini</w:t>
      </w:r>
      <w:r w:rsidRPr="006943FA">
        <w:t xml:space="preserve">, </w:t>
      </w:r>
      <w:r>
        <w:t>evid</w:t>
      </w:r>
      <w:r w:rsidR="006C19CB">
        <w:t>entirani rashod je 136.175.687,48</w:t>
      </w:r>
      <w:r>
        <w:t xml:space="preserve"> kn što je znatno povećanje u odnosu na isto razdoblje prethodne godine.</w:t>
      </w:r>
    </w:p>
    <w:p w:rsidR="00EB203D" w:rsidRPr="004B607A" w:rsidRDefault="00EB203D" w:rsidP="00EB203D">
      <w:pPr>
        <w:jc w:val="both"/>
      </w:pPr>
      <w:r>
        <w:t xml:space="preserve">Razlog tomu prvenstveno je početak realizacije projekta </w:t>
      </w:r>
      <w:r w:rsidRPr="004B607A">
        <w:t xml:space="preserve">Uklanjanje i izgradnja zamjenskih stambenih jedinca u vlasništvu RH na potresom pogođenim područjima </w:t>
      </w:r>
      <w:r>
        <w:t>financiranog iz sredstava izvora financiranja 563 – Europski fond za regionaln razvoj.</w:t>
      </w:r>
    </w:p>
    <w:p w:rsidR="00EB203D" w:rsidRPr="006943FA" w:rsidRDefault="00EB203D" w:rsidP="00EB203D">
      <w:pPr>
        <w:jc w:val="both"/>
        <w:rPr>
          <w:sz w:val="22"/>
          <w:szCs w:val="22"/>
        </w:rPr>
      </w:pPr>
      <w:r w:rsidRPr="006943FA">
        <w:t>Intenzitet radova se značajno povećao na višestambenim zgradama na kojima su u 2021. godini započeli r</w:t>
      </w:r>
      <w:r w:rsidR="00982A9D">
        <w:t>adovi</w:t>
      </w:r>
      <w:r w:rsidRPr="006943FA">
        <w:t>. Također, troškovi se odnose i na radove obnove na pojedinačnim stambenim jedinicama u državnom vlasništvu radi potrebe njihova korištenja za osobe čiji objekti su teže oštećeni u potresu kao i za redovni program stambenog zbrinjavanja.</w:t>
      </w:r>
    </w:p>
    <w:p w:rsidR="00EB203D" w:rsidRPr="00F85C8E" w:rsidRDefault="00EB203D" w:rsidP="00EB203D">
      <w:pPr>
        <w:ind w:right="-284"/>
        <w:jc w:val="both"/>
        <w:rPr>
          <w:color w:val="C0504D" w:themeColor="accent2"/>
        </w:rPr>
      </w:pPr>
    </w:p>
    <w:p w:rsidR="00EB203D" w:rsidRPr="00630A7C" w:rsidRDefault="00EB203D" w:rsidP="00EB203D">
      <w:pPr>
        <w:jc w:val="both"/>
      </w:pPr>
      <w:r w:rsidRPr="00630A7C">
        <w:t xml:space="preserve">Na stavci rashoda 4231 – prijevozna sredstva u cestovnom prometu evidentiran je rashod nabave dva (2) službena automobila za potrebe obavljanja redovnih djelatnosti SDUOSZ. </w:t>
      </w:r>
    </w:p>
    <w:p w:rsidR="00EB203D" w:rsidRDefault="00EB203D" w:rsidP="00EB203D">
      <w:pPr>
        <w:jc w:val="both"/>
      </w:pPr>
    </w:p>
    <w:p w:rsidR="00EB203D" w:rsidRPr="00D15DA4" w:rsidRDefault="00EB203D" w:rsidP="00EB203D">
      <w:pPr>
        <w:jc w:val="both"/>
        <w:rPr>
          <w:sz w:val="22"/>
          <w:szCs w:val="22"/>
        </w:rPr>
      </w:pPr>
      <w:r>
        <w:t>Na stavci rashoda 4511 – dodatna ulaganja na građevinskim objektima evidentiran je</w:t>
      </w:r>
      <w:r w:rsidR="00CC41E0">
        <w:t xml:space="preserve"> rashod u iznosu od 5.187.940,71</w:t>
      </w:r>
      <w:r>
        <w:t xml:space="preserve"> kn. U okviru programa energetske obnove, NPOO - program suzbijanja </w:t>
      </w:r>
      <w:r>
        <w:lastRenderedPageBreak/>
        <w:t xml:space="preserve">energetskog siromaštva koji je započet tijekom 2022. godine izradom projektne dokumentacije za obnovu višestambenih zgrada evidentiran </w:t>
      </w:r>
      <w:r w:rsidR="00CC41E0">
        <w:t>je rashod u iznosu od 1.043.588,57</w:t>
      </w:r>
      <w:r>
        <w:t xml:space="preserve"> kn.</w:t>
      </w:r>
    </w:p>
    <w:p w:rsidR="00EB203D" w:rsidRDefault="00EB203D" w:rsidP="00EB203D">
      <w:pPr>
        <w:jc w:val="both"/>
        <w:rPr>
          <w:u w:val="single"/>
        </w:rPr>
      </w:pPr>
    </w:p>
    <w:p w:rsidR="00EB203D" w:rsidRDefault="00EB203D" w:rsidP="00EB203D">
      <w:pPr>
        <w:jc w:val="both"/>
        <w:rPr>
          <w:u w:val="single"/>
        </w:rPr>
      </w:pPr>
      <w:r>
        <w:rPr>
          <w:u w:val="single"/>
        </w:rPr>
        <w:t>Bilješka broj 3</w:t>
      </w:r>
      <w:r>
        <w:tab/>
      </w:r>
      <w:r>
        <w:tab/>
      </w:r>
      <w:r w:rsidRPr="00A443DB">
        <w:t>Ukupni prihodi i primici</w:t>
      </w:r>
    </w:p>
    <w:p w:rsidR="00EB203D" w:rsidRPr="00A443DB" w:rsidRDefault="00EB203D" w:rsidP="00EB203D">
      <w:pPr>
        <w:ind w:left="1416" w:firstLine="708"/>
        <w:jc w:val="both"/>
      </w:pPr>
      <w:r w:rsidRPr="00A443DB">
        <w:t>Ukupni rashodi i izdaci</w:t>
      </w:r>
    </w:p>
    <w:p w:rsidR="00EB203D" w:rsidRPr="00A443DB" w:rsidRDefault="00EB203D" w:rsidP="00EB203D">
      <w:pPr>
        <w:jc w:val="both"/>
      </w:pPr>
    </w:p>
    <w:p w:rsidR="00EB203D" w:rsidRPr="00A443DB" w:rsidRDefault="00EB203D" w:rsidP="00EB203D">
      <w:pPr>
        <w:jc w:val="both"/>
      </w:pPr>
    </w:p>
    <w:p w:rsidR="00EB203D" w:rsidRDefault="00EB203D" w:rsidP="00EB203D">
      <w:pPr>
        <w:jc w:val="both"/>
      </w:pPr>
      <w:r>
        <w:t>Ukupno ostvareni prihodi i prim</w:t>
      </w:r>
      <w:r w:rsidR="00BC35B2">
        <w:t>ici u razdoblju siječanj – prosinac</w:t>
      </w:r>
      <w:r>
        <w:t xml:space="preserve"> 2022. godine iznose </w:t>
      </w:r>
      <w:r w:rsidR="00BC35B2">
        <w:rPr>
          <w:b/>
        </w:rPr>
        <w:t>436.617.710,09</w:t>
      </w:r>
      <w:r>
        <w:rPr>
          <w:b/>
        </w:rPr>
        <w:t xml:space="preserve"> kn</w:t>
      </w:r>
      <w:r>
        <w:t>, a ukupni rashodi i izdaci iznose</w:t>
      </w:r>
      <w:r w:rsidR="00BC35B2">
        <w:t xml:space="preserve"> </w:t>
      </w:r>
      <w:r w:rsidR="00633915">
        <w:rPr>
          <w:b/>
          <w:bCs/>
          <w:color w:val="000000"/>
        </w:rPr>
        <w:t>535.590.328</w:t>
      </w:r>
      <w:r w:rsidR="00BC35B2" w:rsidRPr="002807F0">
        <w:rPr>
          <w:b/>
          <w:bCs/>
          <w:color w:val="000000"/>
        </w:rPr>
        <w:t>,</w:t>
      </w:r>
      <w:r w:rsidR="003F344A">
        <w:rPr>
          <w:b/>
          <w:bCs/>
          <w:color w:val="000000"/>
        </w:rPr>
        <w:t>99</w:t>
      </w:r>
      <w:r>
        <w:t xml:space="preserve"> </w:t>
      </w:r>
      <w:r>
        <w:rPr>
          <w:b/>
        </w:rPr>
        <w:t xml:space="preserve"> kn</w:t>
      </w:r>
      <w:r>
        <w:t>. Ostvareni manjak prihoda i primit</w:t>
      </w:r>
      <w:r w:rsidR="00BC35B2">
        <w:t>aka u razdoblju siječanj – prosinac</w:t>
      </w:r>
      <w:r>
        <w:t xml:space="preserve"> 2022. godini iznosi </w:t>
      </w:r>
      <w:r w:rsidR="000F2C25">
        <w:rPr>
          <w:b/>
        </w:rPr>
        <w:t>98.972</w:t>
      </w:r>
      <w:r w:rsidR="003F344A">
        <w:rPr>
          <w:b/>
        </w:rPr>
        <w:t>.618,90</w:t>
      </w:r>
      <w:r>
        <w:rPr>
          <w:b/>
        </w:rPr>
        <w:t xml:space="preserve"> kn</w:t>
      </w:r>
      <w:r>
        <w:t>. Evidentirani manjak prihoda se odnosi na činjenicu da su donacijska sredstva prikupljena u državni proračun za saniranje posljedica potresa, koja su raspodijeljena na pozicije SDUOSZ, evidentirana na prihodima tijekom 2021. godine kada su uplaćena, a u najvećem dijelu su realizirana tijekom prvih devet mjeseci 2022. g. kada su evidentirani rashodi za obnovu nakon potresa.</w:t>
      </w:r>
      <w:r w:rsidR="00A511F6">
        <w:t xml:space="preserve"> Osim toga, značajan iznos evidentiranih rashoda za prosinac, prvenstveno građevinskih situacija za obnovu i izgradnju stambenih objekata vezano uz obnovu od potresa, nedospjele su obveze, plaćene početkom 2023., kada je i evidentiran prihod.</w:t>
      </w:r>
    </w:p>
    <w:p w:rsidR="00EB203D" w:rsidRDefault="00EB203D" w:rsidP="00EB203D">
      <w:pPr>
        <w:jc w:val="both"/>
        <w:rPr>
          <w:b/>
        </w:rPr>
      </w:pPr>
    </w:p>
    <w:p w:rsidR="00EB203D" w:rsidRDefault="00EB203D" w:rsidP="00EB203D">
      <w:pPr>
        <w:jc w:val="both"/>
        <w:rPr>
          <w:b/>
        </w:rPr>
      </w:pPr>
      <w:r w:rsidRPr="008016B3">
        <w:rPr>
          <w:b/>
        </w:rPr>
        <w:t>OBVEZE</w:t>
      </w:r>
      <w:r>
        <w:rPr>
          <w:b/>
        </w:rPr>
        <w:t xml:space="preserve"> – OBRAZAC OBV</w:t>
      </w:r>
    </w:p>
    <w:p w:rsidR="00EB203D" w:rsidRDefault="00EB203D" w:rsidP="00EB203D">
      <w:pPr>
        <w:jc w:val="both"/>
        <w:rPr>
          <w:b/>
        </w:rPr>
      </w:pPr>
    </w:p>
    <w:p w:rsidR="00EB203D" w:rsidRPr="008016B3" w:rsidRDefault="00EB203D" w:rsidP="00EB203D">
      <w:pPr>
        <w:jc w:val="both"/>
      </w:pPr>
      <w:r>
        <w:t>Dospjele obveze</w:t>
      </w:r>
      <w:r w:rsidR="0069150B">
        <w:t xml:space="preserve"> iskazane u iznosu od 316.474,19</w:t>
      </w:r>
      <w:r>
        <w:t xml:space="preserve"> kn evidentirane na obras</w:t>
      </w:r>
      <w:r w:rsidR="009C7453">
        <w:t>cu Obveze za razdoblje 01.01.-31.12</w:t>
      </w:r>
      <w:r>
        <w:t>.2022. odnose se na ulazne račune, koje zaprimamo u izuzetno velikom broju, pristigle krajem obračunskog razdoblja</w:t>
      </w:r>
      <w:r w:rsidR="0069150B">
        <w:t xml:space="preserve"> i tijekom siječnja 2023. godine, iste se</w:t>
      </w:r>
      <w:r>
        <w:t xml:space="preserve"> p</w:t>
      </w:r>
      <w:r w:rsidR="0069150B">
        <w:t>odmiruju u siječnju</w:t>
      </w:r>
      <w:r>
        <w:t>, a uglavnom se odnose na režijske troškove za stambene jedinice u državnom vlasništvu, u nadležnosti SDUOSZ kao i na režijske troškove za stambene jedinice u koje su privremeno smješteni stradalnici nakon potresa.</w:t>
      </w:r>
    </w:p>
    <w:p w:rsidR="00F0633F" w:rsidRPr="0042238E" w:rsidRDefault="00F0633F" w:rsidP="00A443DB">
      <w:pPr>
        <w:jc w:val="both"/>
      </w:pPr>
    </w:p>
    <w:p w:rsidR="00EB203D" w:rsidRDefault="00EB203D" w:rsidP="00DF4009">
      <w:pPr>
        <w:ind w:left="1134" w:right="-284" w:hanging="1134"/>
        <w:jc w:val="both"/>
        <w:rPr>
          <w:b/>
        </w:rPr>
      </w:pPr>
    </w:p>
    <w:p w:rsidR="00DF6EFD" w:rsidRDefault="00DF6EFD" w:rsidP="002B39DC">
      <w:pPr>
        <w:jc w:val="both"/>
      </w:pPr>
    </w:p>
    <w:p w:rsidR="006E653B" w:rsidRDefault="006E653B" w:rsidP="002B39DC">
      <w:pPr>
        <w:jc w:val="both"/>
      </w:pPr>
    </w:p>
    <w:p w:rsidR="00FD2865" w:rsidRDefault="00FD2865" w:rsidP="00FD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BILANCA</w:t>
      </w:r>
    </w:p>
    <w:p w:rsidR="00B80D29" w:rsidRDefault="00B80D29" w:rsidP="00FD2865">
      <w:pPr>
        <w:jc w:val="both"/>
        <w:rPr>
          <w:b/>
        </w:rPr>
      </w:pPr>
    </w:p>
    <w:p w:rsidR="00B80D29" w:rsidRDefault="00B80D29" w:rsidP="00FD2865">
      <w:pPr>
        <w:jc w:val="both"/>
        <w:rPr>
          <w:b/>
        </w:rPr>
      </w:pPr>
    </w:p>
    <w:p w:rsidR="00FD2865" w:rsidRPr="0006193A" w:rsidRDefault="00FD2865" w:rsidP="00DF4009">
      <w:pPr>
        <w:ind w:right="-284"/>
        <w:jc w:val="both"/>
        <w:rPr>
          <w:b/>
        </w:rPr>
      </w:pPr>
      <w:r w:rsidRPr="0006193A">
        <w:rPr>
          <w:b/>
        </w:rPr>
        <w:t xml:space="preserve"> </w:t>
      </w:r>
      <w:r w:rsidR="001A59DF" w:rsidRPr="0006193A">
        <w:rPr>
          <w:b/>
        </w:rPr>
        <w:t>Nefinancijska imovina – razred 0</w:t>
      </w:r>
      <w:r w:rsidRPr="0006193A">
        <w:rPr>
          <w:b/>
        </w:rPr>
        <w:t xml:space="preserve">                 </w:t>
      </w:r>
    </w:p>
    <w:p w:rsidR="00FD2865" w:rsidRPr="0006193A" w:rsidRDefault="00FD2865" w:rsidP="00DF4009">
      <w:pPr>
        <w:ind w:right="-284"/>
        <w:jc w:val="both"/>
        <w:rPr>
          <w:b/>
        </w:rPr>
      </w:pPr>
    </w:p>
    <w:p w:rsidR="004C47EC" w:rsidRPr="0006193A" w:rsidRDefault="001A59DF" w:rsidP="00DF4009">
      <w:pPr>
        <w:ind w:right="-284"/>
        <w:jc w:val="both"/>
      </w:pPr>
      <w:r w:rsidRPr="0006193A">
        <w:t>U  stavke</w:t>
      </w:r>
      <w:r w:rsidR="00E21188" w:rsidRPr="0006193A">
        <w:t xml:space="preserve"> </w:t>
      </w:r>
      <w:r w:rsidR="00FD2865" w:rsidRPr="0006193A">
        <w:t xml:space="preserve">financijska imovina ukupne vrijednosti  od </w:t>
      </w:r>
      <w:r w:rsidR="00614F90">
        <w:t>2.656.546.686,77</w:t>
      </w:r>
      <w:r w:rsidR="00FD2865" w:rsidRPr="0006193A">
        <w:t xml:space="preserve"> kn, </w:t>
      </w:r>
      <w:r w:rsidR="00971EAE" w:rsidRPr="0006193A">
        <w:t xml:space="preserve">a u najvećem dijelu se odnosi </w:t>
      </w:r>
      <w:r w:rsidR="00FD2865" w:rsidRPr="0006193A">
        <w:t xml:space="preserve"> na proizvedenu dugotrajnu imovinu koja se sastoji od izgrađenih kuća, kuća kupljenih iz proračunskih sredstava, stanova u stambenim zgradama preuzetih na upravljanje temeljem Zakona o vlasništvu i drugim stvarnim pravima i Zakona o </w:t>
      </w:r>
      <w:r w:rsidR="00297955" w:rsidRPr="0006193A">
        <w:t>stambenom zbrinjavanju na potpomognutim područjima</w:t>
      </w:r>
      <w:r w:rsidR="00FD2865" w:rsidRPr="0006193A">
        <w:t>, stanova kupljenih iz proračunskih sredstava, izgrađenih stambenih zgrada čija izgradnja je financ</w:t>
      </w:r>
      <w:r w:rsidR="003F482F" w:rsidRPr="0006193A">
        <w:t>irana iz proračunskih sredstava kao i stambenih jedinica kupljenih putem Regionalnog programa stambenog zbrinjavanja</w:t>
      </w:r>
      <w:r w:rsidR="005250B6" w:rsidRPr="0006193A">
        <w:t>.</w:t>
      </w:r>
    </w:p>
    <w:p w:rsidR="00FD2865" w:rsidRPr="0006193A" w:rsidRDefault="00FD2865" w:rsidP="00DF4009">
      <w:pPr>
        <w:ind w:right="-284"/>
        <w:jc w:val="both"/>
      </w:pPr>
    </w:p>
    <w:p w:rsidR="00FD2865" w:rsidRPr="0006193A" w:rsidRDefault="00FD2865" w:rsidP="00DF4009">
      <w:pPr>
        <w:ind w:right="-284"/>
        <w:jc w:val="both"/>
      </w:pPr>
      <w:r w:rsidRPr="0006193A">
        <w:rPr>
          <w:b/>
        </w:rPr>
        <w:t>Dugotrajna nefinancijska</w:t>
      </w:r>
      <w:r w:rsidRPr="0006193A">
        <w:t xml:space="preserve"> </w:t>
      </w:r>
      <w:r w:rsidRPr="0006193A">
        <w:rPr>
          <w:b/>
        </w:rPr>
        <w:t>imovina u pripremi</w:t>
      </w:r>
      <w:r w:rsidRPr="0006193A">
        <w:t xml:space="preserve"> </w:t>
      </w:r>
      <w:r w:rsidR="007101C3" w:rsidRPr="0006193A">
        <w:t xml:space="preserve">u ukupnom iznosu </w:t>
      </w:r>
      <w:r w:rsidR="00953EA5">
        <w:t>523.411.733,05</w:t>
      </w:r>
      <w:r w:rsidR="0026534F" w:rsidRPr="0006193A">
        <w:t xml:space="preserve"> kn </w:t>
      </w:r>
      <w:r w:rsidRPr="0006193A">
        <w:t xml:space="preserve">odnosi se  na evidenciju stambenih jedinica koje koriste korisnici stambenog zbrinjavanja, ali je za iste još uvijek uknjižba u vlasništvo RH u tijeku. </w:t>
      </w:r>
    </w:p>
    <w:p w:rsidR="00AF6D43" w:rsidRPr="0006193A" w:rsidRDefault="00FD2865" w:rsidP="00DF4009">
      <w:pPr>
        <w:ind w:right="-284"/>
        <w:jc w:val="both"/>
      </w:pPr>
      <w:r w:rsidRPr="0006193A">
        <w:t xml:space="preserve">Druga skupina nefinancijske imovine u pripremi odnosi se na investicije u tijeku koje se izvode na nekoliko gradilišta. U izgradnji su zgrade sa stambenim jedinicama namijenjenim za stambeno zbrinjavanje povratnika u RH, bivših nositelja stanarskog prava. </w:t>
      </w:r>
    </w:p>
    <w:p w:rsidR="00FD2865" w:rsidRPr="0006193A" w:rsidRDefault="00FD2865" w:rsidP="00DF4009">
      <w:pPr>
        <w:ind w:right="-284"/>
        <w:jc w:val="both"/>
      </w:pPr>
      <w:r w:rsidRPr="0006193A">
        <w:lastRenderedPageBreak/>
        <w:t>Treća skupina se odnosi na građevinska zemljišta u pripre</w:t>
      </w:r>
      <w:r w:rsidR="004C3B19" w:rsidRPr="0006193A">
        <w:t xml:space="preserve">mi i oštećene i neuseljive kuće koje se daruju korisnicima </w:t>
      </w:r>
      <w:r w:rsidR="007E3FB8" w:rsidRPr="0006193A">
        <w:t>kojima se ujedno daruje i građevinski materijal.</w:t>
      </w:r>
    </w:p>
    <w:p w:rsidR="00AF6D43" w:rsidRPr="0006193A" w:rsidRDefault="00AF6D43" w:rsidP="00DF4009">
      <w:pPr>
        <w:ind w:right="-284"/>
        <w:jc w:val="both"/>
      </w:pPr>
    </w:p>
    <w:p w:rsidR="00FD2865" w:rsidRPr="0006193A" w:rsidRDefault="00FD2865" w:rsidP="00DF4009">
      <w:pPr>
        <w:ind w:right="-284"/>
        <w:jc w:val="both"/>
      </w:pPr>
      <w:r w:rsidRPr="0006193A">
        <w:t xml:space="preserve">Gospodarenje i upravljanje stambenim jedinicama je u nadležnosti </w:t>
      </w:r>
      <w:r w:rsidR="005046E2" w:rsidRPr="0006193A">
        <w:t>S</w:t>
      </w:r>
      <w:r w:rsidRPr="0006193A">
        <w:t xml:space="preserve">DUOSZ. Stambene jedinice se daju u najam korisnicima koji ostvaruju pravo na stambeno zbrinjavane </w:t>
      </w:r>
      <w:r w:rsidR="008B4B82" w:rsidRPr="0006193A">
        <w:t>i darovanje temeljem važećih</w:t>
      </w:r>
      <w:r w:rsidRPr="0006193A">
        <w:t xml:space="preserve"> Zakona i Uredbi, odnosno za iste se provode postupci otkupa po povlaštenim uvjetima od strane korisnika za koje se utvrdi pravo na otkup. </w:t>
      </w:r>
    </w:p>
    <w:p w:rsidR="00FD2865" w:rsidRPr="0006193A" w:rsidRDefault="00FD2865" w:rsidP="00DF4009">
      <w:pPr>
        <w:ind w:left="5672" w:right="-284"/>
        <w:jc w:val="both"/>
      </w:pPr>
    </w:p>
    <w:p w:rsidR="006E653B" w:rsidRPr="0006193A" w:rsidRDefault="006E653B" w:rsidP="00FD2865">
      <w:pPr>
        <w:jc w:val="both"/>
        <w:rPr>
          <w:b/>
        </w:rPr>
      </w:pPr>
    </w:p>
    <w:p w:rsidR="00FD2865" w:rsidRPr="0006193A" w:rsidRDefault="007F0D27" w:rsidP="00DF4009">
      <w:pPr>
        <w:ind w:right="-284"/>
        <w:jc w:val="both"/>
        <w:rPr>
          <w:b/>
        </w:rPr>
      </w:pPr>
      <w:r w:rsidRPr="0006193A">
        <w:rPr>
          <w:b/>
        </w:rPr>
        <w:t xml:space="preserve"> </w:t>
      </w:r>
      <w:r w:rsidR="00FD2865" w:rsidRPr="0006193A">
        <w:rPr>
          <w:b/>
        </w:rPr>
        <w:t xml:space="preserve">Financijska imovina                                    </w:t>
      </w:r>
    </w:p>
    <w:p w:rsidR="00FD2865" w:rsidRPr="0006193A" w:rsidRDefault="00FD2865" w:rsidP="00DF4009">
      <w:pPr>
        <w:ind w:right="-284"/>
        <w:jc w:val="both"/>
        <w:rPr>
          <w:b/>
        </w:rPr>
      </w:pPr>
    </w:p>
    <w:p w:rsidR="00FD2865" w:rsidRDefault="00CE710A" w:rsidP="00DF4009">
      <w:pPr>
        <w:ind w:right="-284"/>
        <w:jc w:val="both"/>
      </w:pPr>
      <w:r>
        <w:t xml:space="preserve"> </w:t>
      </w:r>
      <w:r w:rsidR="00FD2865">
        <w:t>Financijska imovina</w:t>
      </w:r>
      <w:r w:rsidR="007F0D27">
        <w:t xml:space="preserve"> </w:t>
      </w:r>
      <w:r w:rsidR="00FD2865">
        <w:t xml:space="preserve">evidentirana je u ukupnom iznosu od  </w:t>
      </w:r>
      <w:r w:rsidR="00AD0673">
        <w:t>51</w:t>
      </w:r>
      <w:r>
        <w:t>.</w:t>
      </w:r>
      <w:r w:rsidR="00AD0673">
        <w:t>645.</w:t>
      </w:r>
      <w:r>
        <w:t>477,13</w:t>
      </w:r>
      <w:r w:rsidR="009541A2">
        <w:t xml:space="preserve"> </w:t>
      </w:r>
      <w:r w:rsidR="004C47EC">
        <w:t>kn, a</w:t>
      </w:r>
      <w:r w:rsidR="00FD2865">
        <w:t xml:space="preserve"> odnosi se na:</w:t>
      </w:r>
    </w:p>
    <w:p w:rsidR="00347236" w:rsidRDefault="00347236" w:rsidP="00DF4009">
      <w:pPr>
        <w:ind w:right="-284"/>
        <w:jc w:val="both"/>
      </w:pPr>
    </w:p>
    <w:p w:rsidR="00FD2865" w:rsidRPr="00E116BB" w:rsidRDefault="00B53D5B" w:rsidP="00497F10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predujmovi isplaćeni dobavljačima</w:t>
      </w:r>
      <w:r w:rsidR="00B56017">
        <w:t xml:space="preserve"> uglavnom za priključke električne energije</w:t>
      </w:r>
      <w:r>
        <w:t xml:space="preserve"> i ostale usluge</w:t>
      </w:r>
      <w:r w:rsidR="00FD2865" w:rsidRPr="00E116BB">
        <w:t xml:space="preserve"> u ukupnom iznosu od </w:t>
      </w:r>
      <w:r w:rsidR="00CE710A">
        <w:t>497.594,88</w:t>
      </w:r>
      <w:r w:rsidR="00D965A9">
        <w:t xml:space="preserve"> kn</w:t>
      </w:r>
      <w:r w:rsidR="006738CE">
        <w:t xml:space="preserve"> </w:t>
      </w:r>
    </w:p>
    <w:p w:rsidR="00843BD5" w:rsidRDefault="009541A2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n</w:t>
      </w:r>
      <w:r w:rsidR="00FD2865">
        <w:t xml:space="preserve">a potraživanja za nenaplaćene najmove od korisnika stambenog zbrinjavanja u ukupnom iznosu od </w:t>
      </w:r>
      <w:r w:rsidR="00375ED0">
        <w:t>6.985.449,17</w:t>
      </w:r>
      <w:r w:rsidR="00B80D29">
        <w:t xml:space="preserve"> kn</w:t>
      </w:r>
      <w:r w:rsidR="00D728C7">
        <w:t>. Iznos je znatno smanjen u odnosu na početno stanje 01.01.2022. godine (</w:t>
      </w:r>
      <w:r w:rsidR="00AB6F5F">
        <w:t>14.492.566,49 kn) iz razloga jer je SDUOSZ provodi otpis  potraživanja s osnova najma sukladno Odluci VRH (NN br.99/17) , a ujedno je, u okviru</w:t>
      </w:r>
      <w:r w:rsidR="00E628F4">
        <w:t xml:space="preserve"> revizije</w:t>
      </w:r>
      <w:r w:rsidR="00AB6F5F">
        <w:t xml:space="preserve"> provedena </w:t>
      </w:r>
      <w:r w:rsidR="00E628F4">
        <w:t xml:space="preserve">je izmjera stambenih jedinica gdje je na cca 1000 stambenih jedinica utvrđena smjanjenja ili povećanja površina što je ukupno rezultiralo smanjenjem zaduženja. </w:t>
      </w:r>
    </w:p>
    <w:p w:rsidR="00D965A9" w:rsidRDefault="009541A2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kontinuirane r</w:t>
      </w:r>
      <w:r w:rsidR="00FD2865">
        <w:t>ashod</w:t>
      </w:r>
      <w:r>
        <w:t>e</w:t>
      </w:r>
      <w:r w:rsidR="00FD2865">
        <w:t xml:space="preserve"> budućeg razdoblja koji se odnose na sredstva za isplatu plaće</w:t>
      </w:r>
      <w:r w:rsidR="00747E96">
        <w:t xml:space="preserve"> </w:t>
      </w:r>
      <w:r w:rsidR="00140064">
        <w:t xml:space="preserve">i </w:t>
      </w:r>
      <w:r w:rsidR="00747E96">
        <w:t>prijevoza djelatnika</w:t>
      </w:r>
      <w:r w:rsidR="00FD2865">
        <w:t xml:space="preserve"> za prosinac 20</w:t>
      </w:r>
      <w:r w:rsidR="00747E96">
        <w:t>2</w:t>
      </w:r>
      <w:r w:rsidR="00314427">
        <w:t>2</w:t>
      </w:r>
      <w:r w:rsidR="00FD2865">
        <w:t>.</w:t>
      </w:r>
      <w:r w:rsidR="00D965A9">
        <w:t xml:space="preserve"> </w:t>
      </w:r>
      <w:r w:rsidR="00FD2865">
        <w:t>godine</w:t>
      </w:r>
      <w:r>
        <w:t xml:space="preserve"> </w:t>
      </w:r>
      <w:r w:rsidR="00FD2865">
        <w:t xml:space="preserve">u iznosu od </w:t>
      </w:r>
      <w:r w:rsidR="00314427">
        <w:t>2.471.427,85</w:t>
      </w:r>
      <w:r w:rsidR="009837C0" w:rsidRPr="00154926">
        <w:t xml:space="preserve"> </w:t>
      </w:r>
      <w:r w:rsidR="00B80D29" w:rsidRPr="00154926">
        <w:t>kn</w:t>
      </w:r>
    </w:p>
    <w:p w:rsidR="00D965A9" w:rsidRDefault="00155FB2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t</w:t>
      </w:r>
      <w:r w:rsidR="00D965A9" w:rsidRPr="00D965A9">
        <w:t>emeljem Okvirnog sporazuma između RH i Razvojne banke Vijeća Europe u vezi s Regionalnim programom stambenog zbrinjavanja isplaćen</w:t>
      </w:r>
      <w:r w:rsidR="000522C7">
        <w:t>e su</w:t>
      </w:r>
      <w:r w:rsidR="00D965A9" w:rsidRPr="00D965A9">
        <w:t xml:space="preserve"> tranš</w:t>
      </w:r>
      <w:r w:rsidR="000522C7">
        <w:t>e</w:t>
      </w:r>
      <w:r w:rsidR="00D965A9" w:rsidRPr="00D965A9">
        <w:t xml:space="preserve"> donacija na namjenski račun u Hrvatskoj narodnoj banci koje se povlače na račun Državnog proračuna. Sredstva</w:t>
      </w:r>
      <w:r w:rsidR="00D965A9">
        <w:t xml:space="preserve"> u iznosu od</w:t>
      </w:r>
      <w:r w:rsidR="0082423C">
        <w:t xml:space="preserve"> </w:t>
      </w:r>
      <w:r w:rsidR="00314427">
        <w:t>2.521.069,49</w:t>
      </w:r>
      <w:r w:rsidR="00D965A9">
        <w:t xml:space="preserve">  kn koja su ostala</w:t>
      </w:r>
      <w:r w:rsidR="007C2BEA">
        <w:t xml:space="preserve"> neiskorištena do 31.12.202</w:t>
      </w:r>
      <w:r w:rsidR="00314427">
        <w:t>2</w:t>
      </w:r>
      <w:r w:rsidR="00D965A9" w:rsidRPr="00D965A9">
        <w:t xml:space="preserve">. temeljem zakonskih propisa, </w:t>
      </w:r>
      <w:r w:rsidR="00D965A9">
        <w:t>prenose se</w:t>
      </w:r>
      <w:r w:rsidR="00D965A9" w:rsidRPr="00D965A9">
        <w:t xml:space="preserve"> </w:t>
      </w:r>
      <w:r w:rsidR="007C2BEA">
        <w:t>u 202</w:t>
      </w:r>
      <w:r w:rsidR="00314427">
        <w:t>3</w:t>
      </w:r>
      <w:r w:rsidR="00B80D29">
        <w:t>. godinu</w:t>
      </w:r>
      <w:r w:rsidR="00316387">
        <w:t xml:space="preserve">. </w:t>
      </w:r>
    </w:p>
    <w:p w:rsidR="009541A2" w:rsidRDefault="00637B4F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i</w:t>
      </w:r>
      <w:r w:rsidR="00155FB2">
        <w:t xml:space="preserve">znos od </w:t>
      </w:r>
      <w:r w:rsidR="00BE0DF8">
        <w:t>30.734.514,43</w:t>
      </w:r>
      <w:r w:rsidR="00DA5F23">
        <w:t xml:space="preserve"> kn</w:t>
      </w:r>
      <w:r>
        <w:t xml:space="preserve"> odnosi se</w:t>
      </w:r>
      <w:r w:rsidR="009541A2">
        <w:t xml:space="preserve"> vrijednost preostalih potraživanja od obročne prodaje stambenih jedinica</w:t>
      </w:r>
      <w:r>
        <w:t xml:space="preserve"> izvan područja posebne državne skrbi</w:t>
      </w:r>
      <w:r w:rsidR="00D94558">
        <w:t xml:space="preserve"> i na potpomogn</w:t>
      </w:r>
      <w:r w:rsidR="00BE0DF8">
        <w:t>utim područjima na dan 31.12.2022</w:t>
      </w:r>
      <w:r w:rsidR="00ED50CD">
        <w:t>.</w:t>
      </w:r>
      <w:r w:rsidR="009541A2">
        <w:t xml:space="preserve"> </w:t>
      </w:r>
    </w:p>
    <w:p w:rsidR="00316387" w:rsidRDefault="00D94558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 xml:space="preserve">temeljem Odluke o raspodjeli donacija financijskih sredstava uplaćenih na </w:t>
      </w:r>
      <w:r w:rsidR="00316387">
        <w:t>r</w:t>
      </w:r>
      <w:r>
        <w:t>ačun državnog proračuna</w:t>
      </w:r>
      <w:r w:rsidR="00316387">
        <w:t xml:space="preserve"> u akciji „Pomoć za obnovu nakon potresa“ Vlade RH sredstva su raspoređena na pozicije SDUOSZ s namjenom sanacije šteta na obiteljskim kućama stradalih u potresu.</w:t>
      </w:r>
    </w:p>
    <w:p w:rsidR="00A8067D" w:rsidRDefault="00316387" w:rsidP="00316387">
      <w:pPr>
        <w:spacing w:line="259" w:lineRule="auto"/>
        <w:ind w:left="720" w:right="-284"/>
        <w:jc w:val="both"/>
      </w:pPr>
      <w:r>
        <w:t>Neiskorištena sredstva donacija</w:t>
      </w:r>
      <w:r w:rsidR="00F03E40">
        <w:t xml:space="preserve"> neiskorištena na dan 31.12.2022</w:t>
      </w:r>
      <w:r>
        <w:t xml:space="preserve">. iznose </w:t>
      </w:r>
      <w:r w:rsidR="00F03E40">
        <w:t>5.725,00</w:t>
      </w:r>
      <w:r w:rsidR="00A8067D">
        <w:t xml:space="preserve"> kn,</w:t>
      </w:r>
    </w:p>
    <w:p w:rsidR="00D94558" w:rsidRDefault="00F03E40" w:rsidP="00316387">
      <w:pPr>
        <w:spacing w:line="259" w:lineRule="auto"/>
        <w:ind w:left="720" w:right="-284"/>
        <w:jc w:val="both"/>
      </w:pPr>
      <w:r>
        <w:t>prenose se u 2023</w:t>
      </w:r>
      <w:r w:rsidR="00A8067D">
        <w:t>. godinu.</w:t>
      </w:r>
    </w:p>
    <w:p w:rsidR="00CE0534" w:rsidRDefault="00CE0534" w:rsidP="007E06AC">
      <w:pPr>
        <w:pStyle w:val="ListParagraph"/>
        <w:spacing w:line="259" w:lineRule="auto"/>
        <w:ind w:right="-284"/>
        <w:jc w:val="both"/>
      </w:pPr>
    </w:p>
    <w:p w:rsidR="00EF0752" w:rsidRDefault="00EF0752" w:rsidP="00EF0752">
      <w:pPr>
        <w:spacing w:line="259" w:lineRule="auto"/>
        <w:ind w:right="-284"/>
        <w:jc w:val="both"/>
      </w:pPr>
    </w:p>
    <w:p w:rsidR="00EF0752" w:rsidRPr="00E116BB" w:rsidRDefault="00EF0752" w:rsidP="00EF0752">
      <w:pPr>
        <w:spacing w:line="259" w:lineRule="auto"/>
        <w:ind w:left="720" w:right="-284"/>
        <w:jc w:val="both"/>
      </w:pPr>
      <w:r>
        <w:t>Ispravak vrijednosti potraživa</w:t>
      </w:r>
      <w:r w:rsidR="00F03E40">
        <w:t>na evidentiran je u iznosu od 1.724.156,91</w:t>
      </w:r>
      <w:r>
        <w:t xml:space="preserve"> kn. </w:t>
      </w:r>
    </w:p>
    <w:p w:rsidR="006E653B" w:rsidRDefault="006E653B" w:rsidP="00FD2865">
      <w:pPr>
        <w:jc w:val="both"/>
        <w:rPr>
          <w:b/>
        </w:rPr>
      </w:pPr>
    </w:p>
    <w:p w:rsidR="006E653B" w:rsidRDefault="006E653B" w:rsidP="00FD2865">
      <w:pPr>
        <w:jc w:val="both"/>
        <w:rPr>
          <w:b/>
        </w:rPr>
      </w:pPr>
    </w:p>
    <w:p w:rsidR="00D90C24" w:rsidRDefault="00FD2865" w:rsidP="00DF4009">
      <w:pPr>
        <w:ind w:right="-284"/>
        <w:jc w:val="both"/>
        <w:rPr>
          <w:b/>
        </w:rPr>
      </w:pPr>
      <w:r w:rsidRPr="00D90C24">
        <w:rPr>
          <w:b/>
        </w:rPr>
        <w:t>Obveze</w:t>
      </w:r>
    </w:p>
    <w:p w:rsidR="000843CB" w:rsidRDefault="000843CB" w:rsidP="00DF4009">
      <w:pPr>
        <w:ind w:right="-284"/>
        <w:jc w:val="both"/>
      </w:pPr>
    </w:p>
    <w:p w:rsidR="009C0113" w:rsidRDefault="00140064" w:rsidP="00DF4009">
      <w:pPr>
        <w:ind w:right="-284"/>
        <w:jc w:val="both"/>
      </w:pPr>
      <w:r>
        <w:t>E</w:t>
      </w:r>
      <w:r w:rsidR="00FD2865">
        <w:t xml:space="preserve">videntirane su nepodmirene </w:t>
      </w:r>
      <w:r w:rsidR="00B80D29">
        <w:t xml:space="preserve">fakturirane </w:t>
      </w:r>
      <w:r w:rsidR="00FD2865">
        <w:t>obveze u izvještajnom</w:t>
      </w:r>
      <w:r w:rsidR="006A02B8">
        <w:t xml:space="preserve"> razdoblju u ukupnom iznosu od </w:t>
      </w:r>
      <w:r w:rsidR="00923E5E">
        <w:t>53.92</w:t>
      </w:r>
      <w:r w:rsidR="00483593">
        <w:t>7.795</w:t>
      </w:r>
      <w:r w:rsidR="002D63DC">
        <w:t>,</w:t>
      </w:r>
      <w:r w:rsidR="00483593">
        <w:t>99</w:t>
      </w:r>
      <w:r w:rsidR="007749CA">
        <w:t xml:space="preserve"> </w:t>
      </w:r>
      <w:r w:rsidR="006A02B8">
        <w:t>kn</w:t>
      </w:r>
      <w:r w:rsidR="00FD2865">
        <w:t>,</w:t>
      </w:r>
      <w:r>
        <w:t xml:space="preserve"> </w:t>
      </w:r>
      <w:r w:rsidR="009C0113" w:rsidRPr="00154926">
        <w:t>od k</w:t>
      </w:r>
      <w:r w:rsidR="00F2242B" w:rsidRPr="00154926">
        <w:t>ojeg</w:t>
      </w:r>
      <w:r w:rsidR="00FD705F" w:rsidRPr="00154926">
        <w:t xml:space="preserve"> je dosp</w:t>
      </w:r>
      <w:r w:rsidR="00154926">
        <w:t>i</w:t>
      </w:r>
      <w:r w:rsidR="00FD705F" w:rsidRPr="00154926">
        <w:t>o iznos</w:t>
      </w:r>
      <w:r w:rsidR="002D63DC">
        <w:t xml:space="preserve"> od 316.474,19</w:t>
      </w:r>
      <w:r w:rsidR="009C0113">
        <w:t xml:space="preserve"> kn</w:t>
      </w:r>
      <w:r w:rsidR="00087E5B">
        <w:t>.</w:t>
      </w:r>
      <w:r w:rsidR="00FD2865">
        <w:t xml:space="preserve"> </w:t>
      </w:r>
      <w:r w:rsidR="0060611F">
        <w:t>Iznos</w:t>
      </w:r>
      <w:r w:rsidR="00F2242B">
        <w:t xml:space="preserve"> dospjelih </w:t>
      </w:r>
      <w:r w:rsidR="0060611F">
        <w:t>obveza</w:t>
      </w:r>
      <w:r w:rsidR="00FD2865">
        <w:t xml:space="preserve"> </w:t>
      </w:r>
      <w:r w:rsidR="0060611F">
        <w:t>ugla</w:t>
      </w:r>
      <w:r w:rsidR="00FD2865">
        <w:t xml:space="preserve">vnom </w:t>
      </w:r>
      <w:r w:rsidR="0060611F">
        <w:t>se odnosi na</w:t>
      </w:r>
      <w:r w:rsidR="00F2242B">
        <w:t xml:space="preserve"> obveze nastale krajem</w:t>
      </w:r>
      <w:r w:rsidR="00916FCF">
        <w:t xml:space="preserve"> 202</w:t>
      </w:r>
      <w:r w:rsidR="002D63DC">
        <w:t>2</w:t>
      </w:r>
      <w:r w:rsidR="00FD2865">
        <w:t>. godine</w:t>
      </w:r>
      <w:r w:rsidR="00F2242B">
        <w:t xml:space="preserve"> koje su zaprimljene tijekom siječnja 202</w:t>
      </w:r>
      <w:r w:rsidR="002D63DC">
        <w:t>3</w:t>
      </w:r>
      <w:r w:rsidR="000267EC">
        <w:t xml:space="preserve">., a odnose se na režijske troškove stambenih jednica u nadležnosti SDUOSZ u koje su smješteni </w:t>
      </w:r>
      <w:r w:rsidR="000267EC">
        <w:lastRenderedPageBreak/>
        <w:t>stradalnici potresa, žrtve obiteljskog nasilja i ostali korisnici koji imaju pravo na stambeno zbrinjavanje.</w:t>
      </w:r>
    </w:p>
    <w:p w:rsidR="00F2242B" w:rsidRDefault="00F2242B" w:rsidP="00DF4009">
      <w:pPr>
        <w:ind w:right="-284"/>
        <w:jc w:val="both"/>
      </w:pPr>
    </w:p>
    <w:p w:rsidR="00FD2865" w:rsidRDefault="00FD2865" w:rsidP="00DF4009">
      <w:pPr>
        <w:ind w:right="-284"/>
        <w:jc w:val="both"/>
      </w:pPr>
      <w:r>
        <w:t>Obveze se</w:t>
      </w:r>
      <w:r w:rsidR="006A02B8">
        <w:t xml:space="preserve"> </w:t>
      </w:r>
      <w:r w:rsidR="00A87708">
        <w:t xml:space="preserve"> u većem dijelu </w:t>
      </w:r>
      <w:r>
        <w:t>odnose na:</w:t>
      </w:r>
    </w:p>
    <w:p w:rsidR="00B80D29" w:rsidRDefault="00FD2865" w:rsidP="00DF4009">
      <w:pPr>
        <w:pStyle w:val="ListParagraph"/>
        <w:numPr>
          <w:ilvl w:val="0"/>
          <w:numId w:val="6"/>
        </w:numPr>
        <w:ind w:right="-284"/>
        <w:jc w:val="both"/>
      </w:pPr>
      <w:r>
        <w:t xml:space="preserve">obveze za nabavu nefinancijske imovine u iznosu od </w:t>
      </w:r>
      <w:r w:rsidR="00483593">
        <w:t>22.541.375,53</w:t>
      </w:r>
      <w:r w:rsidR="007A2921">
        <w:t xml:space="preserve"> </w:t>
      </w:r>
      <w:r w:rsidR="00B80D29">
        <w:t>kn</w:t>
      </w:r>
    </w:p>
    <w:p w:rsidR="00B80D29" w:rsidRDefault="00FD2865" w:rsidP="00DF4009">
      <w:pPr>
        <w:pStyle w:val="ListParagraph"/>
        <w:numPr>
          <w:ilvl w:val="0"/>
          <w:numId w:val="6"/>
        </w:numPr>
        <w:ind w:right="-284"/>
        <w:jc w:val="both"/>
      </w:pPr>
      <w:r>
        <w:t xml:space="preserve">obveze za </w:t>
      </w:r>
      <w:r w:rsidR="00A36EAD">
        <w:t>donacije građanima i kućanstvima putem program</w:t>
      </w:r>
      <w:r>
        <w:t>a d</w:t>
      </w:r>
      <w:r w:rsidR="000E5369">
        <w:t>odjele građevinskog materijala te</w:t>
      </w:r>
      <w:r w:rsidR="00E40DF6">
        <w:t xml:space="preserve"> nekonstrukcijske i konstrukcijske </w:t>
      </w:r>
      <w:r>
        <w:t xml:space="preserve"> obnove stambenih jedinica</w:t>
      </w:r>
      <w:r w:rsidR="00E40DF6">
        <w:t xml:space="preserve"> stradalih u potresu</w:t>
      </w:r>
      <w:r>
        <w:t xml:space="preserve">  u iznosu od </w:t>
      </w:r>
      <w:r w:rsidR="00067C1C">
        <w:t>19.676.652,99</w:t>
      </w:r>
      <w:r w:rsidR="00B80D29">
        <w:t xml:space="preserve"> kn</w:t>
      </w:r>
    </w:p>
    <w:p w:rsidR="00FD2865" w:rsidRPr="00807FB6" w:rsidRDefault="00FD2865" w:rsidP="00DF4009">
      <w:pPr>
        <w:pStyle w:val="ListParagraph"/>
        <w:numPr>
          <w:ilvl w:val="0"/>
          <w:numId w:val="6"/>
        </w:numPr>
        <w:ind w:right="-284"/>
        <w:jc w:val="both"/>
      </w:pPr>
      <w:r w:rsidRPr="00807FB6">
        <w:t xml:space="preserve">obveze za </w:t>
      </w:r>
      <w:r w:rsidR="00D90C24" w:rsidRPr="00807FB6">
        <w:t>zaposlene</w:t>
      </w:r>
      <w:r w:rsidRPr="00807FB6">
        <w:t xml:space="preserve"> za prosinac</w:t>
      </w:r>
      <w:r w:rsidR="001B3FDC" w:rsidRPr="00807FB6">
        <w:t xml:space="preserve"> 202</w:t>
      </w:r>
      <w:r w:rsidR="00067C1C">
        <w:t>2</w:t>
      </w:r>
      <w:r w:rsidR="00A36EAD" w:rsidRPr="00807FB6">
        <w:t>.</w:t>
      </w:r>
      <w:r w:rsidR="00067C1C">
        <w:t xml:space="preserve"> u iznosu od 2.401.035,53</w:t>
      </w:r>
      <w:r w:rsidR="00926785" w:rsidRPr="00807FB6">
        <w:t xml:space="preserve"> kn</w:t>
      </w:r>
      <w:r w:rsidR="00B80D29" w:rsidRPr="00807FB6">
        <w:t>.</w:t>
      </w:r>
    </w:p>
    <w:p w:rsidR="00FD2865" w:rsidRDefault="00FD2865" w:rsidP="00FD2865">
      <w:pPr>
        <w:ind w:left="5672"/>
        <w:jc w:val="both"/>
      </w:pPr>
    </w:p>
    <w:p w:rsidR="004158DD" w:rsidRDefault="004158DD" w:rsidP="00010CE9">
      <w:pPr>
        <w:jc w:val="both"/>
        <w:rPr>
          <w:b/>
        </w:rPr>
      </w:pPr>
    </w:p>
    <w:p w:rsidR="000843CB" w:rsidRDefault="000843CB" w:rsidP="00010CE9">
      <w:pPr>
        <w:jc w:val="both"/>
        <w:rPr>
          <w:b/>
        </w:rPr>
      </w:pPr>
    </w:p>
    <w:p w:rsidR="00010CE9" w:rsidRDefault="00010CE9" w:rsidP="00010CE9">
      <w:pPr>
        <w:jc w:val="both"/>
        <w:rPr>
          <w:b/>
        </w:rPr>
      </w:pPr>
      <w:r>
        <w:rPr>
          <w:b/>
        </w:rPr>
        <w:t xml:space="preserve">Izvanbilančni zapisi    </w:t>
      </w:r>
    </w:p>
    <w:p w:rsidR="00FD2865" w:rsidRDefault="00FD2865" w:rsidP="00FD2865">
      <w:pPr>
        <w:jc w:val="both"/>
        <w:rPr>
          <w:b/>
        </w:rPr>
      </w:pPr>
    </w:p>
    <w:p w:rsidR="006A37DE" w:rsidRDefault="00FD2865" w:rsidP="006A37DE">
      <w:pPr>
        <w:jc w:val="both"/>
      </w:pPr>
      <w:r w:rsidRPr="00292644">
        <w:t>Na kontima</w:t>
      </w:r>
      <w:r w:rsidRPr="00B572A6">
        <w:t xml:space="preserve"> </w:t>
      </w:r>
      <w:r w:rsidRPr="009609FB">
        <w:rPr>
          <w:b/>
        </w:rPr>
        <w:t>izvanbilančnih zapisa</w:t>
      </w:r>
      <w:r w:rsidRPr="00B572A6">
        <w:t xml:space="preserve"> </w:t>
      </w:r>
      <w:r w:rsidR="00140064">
        <w:t>991/996 provedene su sl</w:t>
      </w:r>
      <w:r>
        <w:t>jedeće evidencije</w:t>
      </w:r>
      <w:r w:rsidR="00A36EAD">
        <w:t xml:space="preserve"> u ukupnom iznosu od </w:t>
      </w:r>
      <w:r w:rsidR="00EC251D">
        <w:t xml:space="preserve"> </w:t>
      </w:r>
      <w:r w:rsidR="00986173">
        <w:t>1.618.489.924,72</w:t>
      </w:r>
      <w:r w:rsidR="00DC74D0">
        <w:t xml:space="preserve"> </w:t>
      </w:r>
      <w:r w:rsidR="00FA69F1">
        <w:t xml:space="preserve"> </w:t>
      </w:r>
      <w:r w:rsidR="00A36EAD">
        <w:t>kn, a odnose se na</w:t>
      </w:r>
      <w:r>
        <w:t xml:space="preserve">: 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011"/>
        <w:gridCol w:w="2390"/>
        <w:gridCol w:w="1896"/>
        <w:gridCol w:w="4583"/>
      </w:tblGrid>
      <w:tr w:rsidR="00A85502" w:rsidRPr="00A85502" w:rsidTr="00DA43CA">
        <w:trPr>
          <w:trHeight w:val="31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231CA6" w:rsidP="00A85502">
            <w:pPr>
              <w:rPr>
                <w:color w:val="000000"/>
              </w:rPr>
            </w:pPr>
            <w:r>
              <w:rPr>
                <w:color w:val="000000"/>
              </w:rPr>
              <w:t>991</w:t>
            </w:r>
            <w:r w:rsidR="00A85502" w:rsidRPr="00A85502">
              <w:rPr>
                <w:color w:val="000000"/>
              </w:rPr>
              <w:t>41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A85502">
            <w:pPr>
              <w:rPr>
                <w:color w:val="000000"/>
              </w:rPr>
            </w:pPr>
            <w:r w:rsidRPr="00A85502">
              <w:rPr>
                <w:color w:val="000000"/>
              </w:rPr>
              <w:t>Primljeni instrumenti osiguranja plaćanja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986DD5" w:rsidP="00140064">
            <w:pPr>
              <w:rPr>
                <w:color w:val="000000"/>
              </w:rPr>
            </w:pPr>
            <w:r>
              <w:rPr>
                <w:color w:val="000000"/>
              </w:rPr>
              <w:t>149.117.441,42</w:t>
            </w:r>
            <w:r w:rsidR="00AB4DD3">
              <w:rPr>
                <w:color w:val="000000"/>
              </w:rPr>
              <w:t xml:space="preserve"> </w:t>
            </w:r>
            <w:r w:rsidR="00140064">
              <w:rPr>
                <w:color w:val="000000"/>
              </w:rPr>
              <w:t>k</w:t>
            </w:r>
            <w:r w:rsidR="00AB4DD3">
              <w:rPr>
                <w:color w:val="000000"/>
              </w:rPr>
              <w:t>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E23983">
            <w:pPr>
              <w:rPr>
                <w:color w:val="000000"/>
              </w:rPr>
            </w:pPr>
            <w:r w:rsidRPr="00A85502">
              <w:rPr>
                <w:color w:val="000000"/>
              </w:rPr>
              <w:t>Početno stanje važećih bankarskih garancija, polica osiguranja i zadužnica preuze</w:t>
            </w:r>
            <w:r w:rsidR="00D076B3">
              <w:rPr>
                <w:color w:val="000000"/>
              </w:rPr>
              <w:t>tih od dobavljača na dan 1.1.202</w:t>
            </w:r>
            <w:r w:rsidR="00986DD5">
              <w:rPr>
                <w:color w:val="000000"/>
              </w:rPr>
              <w:t>2</w:t>
            </w:r>
            <w:r w:rsidRPr="00A85502">
              <w:rPr>
                <w:color w:val="000000"/>
              </w:rPr>
              <w:t xml:space="preserve">. godine iznosi </w:t>
            </w:r>
            <w:r w:rsidR="00986DD5">
              <w:rPr>
                <w:color w:val="000000"/>
              </w:rPr>
              <w:t>15.111.692,78</w:t>
            </w:r>
            <w:r w:rsidRPr="00A85502">
              <w:rPr>
                <w:color w:val="000000"/>
              </w:rPr>
              <w:t xml:space="preserve"> kn. Isti iznos je umanjen za instrumente osiguranja plać</w:t>
            </w:r>
            <w:r w:rsidR="00FB70DE">
              <w:rPr>
                <w:color w:val="000000"/>
              </w:rPr>
              <w:t>anja kojima je istekao rok u 202</w:t>
            </w:r>
            <w:r w:rsidR="00986DD5">
              <w:rPr>
                <w:color w:val="000000"/>
              </w:rPr>
              <w:t>2</w:t>
            </w:r>
            <w:r w:rsidRPr="00A85502">
              <w:rPr>
                <w:color w:val="000000"/>
              </w:rPr>
              <w:t>. godini te uvećan za iznos novih instrumenata osigur</w:t>
            </w:r>
            <w:r w:rsidR="00FB70DE">
              <w:rPr>
                <w:color w:val="000000"/>
              </w:rPr>
              <w:t>anja plaćanja zaprimljenih u 202</w:t>
            </w:r>
            <w:r w:rsidR="00986DD5">
              <w:rPr>
                <w:color w:val="000000"/>
              </w:rPr>
              <w:t>2</w:t>
            </w:r>
            <w:r w:rsidRPr="00A85502">
              <w:rPr>
                <w:color w:val="000000"/>
              </w:rPr>
              <w:t xml:space="preserve">. godini. </w:t>
            </w:r>
          </w:p>
        </w:tc>
      </w:tr>
      <w:tr w:rsidR="00090C35" w:rsidRPr="00A85502" w:rsidTr="00DA43CA">
        <w:trPr>
          <w:trHeight w:val="31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5" w:rsidRPr="00A85502" w:rsidRDefault="00231CA6" w:rsidP="00A85502">
            <w:pPr>
              <w:rPr>
                <w:color w:val="000000"/>
              </w:rPr>
            </w:pPr>
            <w:r>
              <w:rPr>
                <w:color w:val="000000"/>
              </w:rPr>
              <w:t>991</w:t>
            </w:r>
            <w:r w:rsidR="00090C35">
              <w:rPr>
                <w:color w:val="000000"/>
              </w:rPr>
              <w:t>41-1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5" w:rsidRPr="00A85502" w:rsidRDefault="00090C35" w:rsidP="00A85502">
            <w:pPr>
              <w:rPr>
                <w:color w:val="000000"/>
              </w:rPr>
            </w:pPr>
            <w:r>
              <w:rPr>
                <w:color w:val="000000"/>
              </w:rPr>
              <w:t>Instrumenti osiguranja plaćanja –zadržana sredstva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5" w:rsidRDefault="004F1C78" w:rsidP="008D38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8.829.488,18</w:t>
            </w:r>
            <w:r w:rsidR="00E12C8B">
              <w:rPr>
                <w:color w:val="000000"/>
              </w:rPr>
              <w:t xml:space="preserve"> </w:t>
            </w:r>
            <w:r w:rsidR="00090C35">
              <w:rPr>
                <w:color w:val="000000"/>
              </w:rPr>
              <w:t>kn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5" w:rsidRPr="00A85502" w:rsidRDefault="00D6076F" w:rsidP="00607A68">
            <w:pPr>
              <w:rPr>
                <w:color w:val="000000"/>
              </w:rPr>
            </w:pPr>
            <w:r>
              <w:rPr>
                <w:color w:val="000000"/>
              </w:rPr>
              <w:t xml:space="preserve">Navedeni iznos odnosi se na zadržana sredstva umanjena od fakturiranog iznosa građevinskih situacija u slučajevima kada nije dostavljena </w:t>
            </w:r>
            <w:r w:rsidR="00E05313">
              <w:rPr>
                <w:color w:val="000000"/>
              </w:rPr>
              <w:t>važeća garancija za otklanjanje nedostataka u garantnom roku.</w:t>
            </w:r>
          </w:p>
        </w:tc>
      </w:tr>
      <w:tr w:rsidR="00A85502" w:rsidRPr="00A85502" w:rsidTr="00DA43CA">
        <w:trPr>
          <w:trHeight w:val="14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231CA6" w:rsidP="00967B8B">
            <w:pPr>
              <w:rPr>
                <w:color w:val="000000"/>
              </w:rPr>
            </w:pPr>
            <w:r>
              <w:rPr>
                <w:color w:val="000000"/>
              </w:rPr>
              <w:t>991</w:t>
            </w:r>
            <w:r w:rsidR="00967B8B">
              <w:rPr>
                <w:color w:val="000000"/>
              </w:rPr>
              <w:t>5</w:t>
            </w:r>
            <w:r w:rsidR="00A85502" w:rsidRPr="00A85502">
              <w:rPr>
                <w:color w:val="00000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F065CF" w:rsidP="00A85502">
            <w:pPr>
              <w:rPr>
                <w:color w:val="000000"/>
              </w:rPr>
            </w:pPr>
            <w:r>
              <w:rPr>
                <w:color w:val="000000"/>
              </w:rPr>
              <w:t>Potencijalne o</w:t>
            </w:r>
            <w:r w:rsidR="00A85502" w:rsidRPr="00A85502">
              <w:rPr>
                <w:color w:val="000000"/>
              </w:rPr>
              <w:t>bveze za predmete u sudskom postupku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3A5010" w:rsidP="003A50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48.172.739,228</w:t>
            </w:r>
            <w:r w:rsidR="00D556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2D57CB" w:rsidP="002D57CB">
            <w:pPr>
              <w:rPr>
                <w:color w:val="000000"/>
              </w:rPr>
            </w:pPr>
            <w:r>
              <w:rPr>
                <w:color w:val="000000"/>
              </w:rPr>
              <w:t>Popis suds</w:t>
            </w:r>
            <w:r w:rsidR="000805C5">
              <w:rPr>
                <w:color w:val="000000"/>
              </w:rPr>
              <w:t>kih sporova u tijeku sastavni su</w:t>
            </w:r>
            <w:r>
              <w:rPr>
                <w:color w:val="000000"/>
              </w:rPr>
              <w:t xml:space="preserve"> dio i priložen je uz B</w:t>
            </w:r>
            <w:r w:rsidR="00F80DD4">
              <w:rPr>
                <w:color w:val="000000"/>
              </w:rPr>
              <w:t>ilješke uz financijska izvješća</w:t>
            </w:r>
          </w:p>
        </w:tc>
      </w:tr>
      <w:tr w:rsidR="00C14069" w:rsidRPr="00A85502" w:rsidTr="00DA43CA">
        <w:trPr>
          <w:trHeight w:val="14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69" w:rsidRPr="00A85502" w:rsidRDefault="00C14069" w:rsidP="00967B8B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231CA6">
              <w:rPr>
                <w:color w:val="000000"/>
              </w:rPr>
              <w:t>191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69" w:rsidRPr="00A85502" w:rsidRDefault="00C14069" w:rsidP="00A85502">
            <w:pPr>
              <w:rPr>
                <w:color w:val="000000"/>
              </w:rPr>
            </w:pPr>
            <w:r>
              <w:rPr>
                <w:color w:val="000000"/>
              </w:rPr>
              <w:t xml:space="preserve">Ostali izvanbilančni zapisi – nesituirani (nefakurirani) iznos potencijalnih obveza po aktivnim </w:t>
            </w:r>
            <w:r>
              <w:rPr>
                <w:color w:val="000000"/>
              </w:rPr>
              <w:lastRenderedPageBreak/>
              <w:t>ugovorima s dobavljačima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69" w:rsidRDefault="00A912AA" w:rsidP="00CF55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1.320.060.216,80</w:t>
            </w:r>
            <w:r w:rsidR="006938A4">
              <w:rPr>
                <w:color w:val="000000"/>
              </w:rPr>
              <w:t xml:space="preserve"> kn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69" w:rsidRDefault="00C14069" w:rsidP="00C812CC">
            <w:pPr>
              <w:rPr>
                <w:color w:val="000000"/>
              </w:rPr>
            </w:pPr>
            <w:r>
              <w:rPr>
                <w:color w:val="000000"/>
              </w:rPr>
              <w:t>Popis ugovora potpisanih s dobavljačima za isporuku roba i usluga</w:t>
            </w:r>
            <w:r w:rsidR="00C812CC">
              <w:rPr>
                <w:color w:val="000000"/>
              </w:rPr>
              <w:t xml:space="preserve"> – nerealizirani iznos ugovora, priložen je uz Bilješke uz financijska izvješća</w:t>
            </w:r>
          </w:p>
        </w:tc>
      </w:tr>
      <w:tr w:rsidR="000D0985" w:rsidRPr="00A85502" w:rsidTr="00DA43CA">
        <w:trPr>
          <w:trHeight w:val="9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85" w:rsidRPr="00A85502" w:rsidRDefault="00231CA6" w:rsidP="00A855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99111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9B" w:rsidRPr="00A85502" w:rsidRDefault="002D57CB" w:rsidP="00A85502">
            <w:pPr>
              <w:rPr>
                <w:color w:val="000000"/>
              </w:rPr>
            </w:pPr>
            <w:r>
              <w:rPr>
                <w:color w:val="000000"/>
              </w:rPr>
              <w:t>Tuđa imovina dobivena na korištenje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85" w:rsidRPr="00A85502" w:rsidRDefault="002F20E6" w:rsidP="00FA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92.310.039,04</w:t>
            </w:r>
            <w:r w:rsidR="002D57CB">
              <w:rPr>
                <w:color w:val="000000"/>
              </w:rPr>
              <w:t xml:space="preserve"> kn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85" w:rsidRPr="00A85502" w:rsidRDefault="002D57CB" w:rsidP="002F20E6">
            <w:pPr>
              <w:rPr>
                <w:color w:val="000000"/>
              </w:rPr>
            </w:pPr>
            <w:r>
              <w:rPr>
                <w:color w:val="000000"/>
              </w:rPr>
              <w:t xml:space="preserve">Iznos se odnosi </w:t>
            </w:r>
            <w:r w:rsidR="00325BE0">
              <w:rPr>
                <w:color w:val="000000"/>
              </w:rPr>
              <w:t xml:space="preserve">na </w:t>
            </w:r>
            <w:r w:rsidR="002F20E6">
              <w:rPr>
                <w:color w:val="000000"/>
              </w:rPr>
              <w:t>vrijednost mobilnih stambenih jedinica preuzetih ugovorima o privremenom korištenju za stambeno zbrinjavanje stradalnika potresa potpisanih s Minstarstvom gosp. i održivog razvoja-ravnateljstvo za robne zalihe, MUP-om, Hrvatskim caritasom, Silidarna – zaklada za ljudska prava i solidarnost i  SNV</w:t>
            </w:r>
          </w:p>
        </w:tc>
      </w:tr>
    </w:tbl>
    <w:p w:rsidR="00A85502" w:rsidRDefault="00A85502" w:rsidP="006A37DE">
      <w:pPr>
        <w:jc w:val="both"/>
      </w:pPr>
    </w:p>
    <w:p w:rsidR="00B940A1" w:rsidRDefault="00B940A1" w:rsidP="006A37DE">
      <w:pPr>
        <w:jc w:val="both"/>
      </w:pPr>
    </w:p>
    <w:p w:rsidR="00B940A1" w:rsidRDefault="00B940A1" w:rsidP="006A37DE">
      <w:pPr>
        <w:jc w:val="both"/>
      </w:pPr>
    </w:p>
    <w:p w:rsidR="00B940A1" w:rsidRDefault="00B940A1" w:rsidP="006A37DE">
      <w:pPr>
        <w:jc w:val="both"/>
      </w:pPr>
    </w:p>
    <w:p w:rsidR="00B940A1" w:rsidRDefault="00B940A1" w:rsidP="006A37DE">
      <w:pPr>
        <w:jc w:val="both"/>
      </w:pPr>
    </w:p>
    <w:p w:rsidR="00FC2498" w:rsidRDefault="00FC2498" w:rsidP="006A02B8">
      <w:pPr>
        <w:jc w:val="both"/>
      </w:pPr>
    </w:p>
    <w:p w:rsidR="00FC2498" w:rsidRPr="00FC2498" w:rsidRDefault="00FC2498" w:rsidP="00FC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2498">
        <w:rPr>
          <w:b/>
        </w:rPr>
        <w:t>BILJEŠKE UZ PROMJENE U VRIJEDNOSTI</w:t>
      </w:r>
      <w:r w:rsidR="00C75619">
        <w:rPr>
          <w:b/>
        </w:rPr>
        <w:t xml:space="preserve"> </w:t>
      </w:r>
      <w:r w:rsidRPr="00FC2498">
        <w:rPr>
          <w:b/>
        </w:rPr>
        <w:t xml:space="preserve"> IMOVINE I OBVEZA</w:t>
      </w:r>
    </w:p>
    <w:p w:rsidR="00FC2498" w:rsidRPr="00FC2498" w:rsidRDefault="00FC2498" w:rsidP="006A02B8">
      <w:pPr>
        <w:jc w:val="both"/>
        <w:rPr>
          <w:b/>
        </w:rPr>
      </w:pPr>
    </w:p>
    <w:p w:rsidR="00FC2498" w:rsidRDefault="00FC2498" w:rsidP="006A02B8">
      <w:pPr>
        <w:jc w:val="both"/>
      </w:pPr>
    </w:p>
    <w:p w:rsidR="008C6AE7" w:rsidRPr="00600E15" w:rsidRDefault="00FC2498" w:rsidP="006A02B8">
      <w:pPr>
        <w:jc w:val="both"/>
      </w:pPr>
      <w:r w:rsidRPr="00600E15">
        <w:t xml:space="preserve">Promjene u obujmu imovine na strani </w:t>
      </w:r>
      <w:r w:rsidRPr="00600E15">
        <w:rPr>
          <w:b/>
        </w:rPr>
        <w:t xml:space="preserve">povećanja </w:t>
      </w:r>
      <w:r w:rsidR="008D285F" w:rsidRPr="00600E15">
        <w:t>vrijednosti</w:t>
      </w:r>
      <w:r w:rsidR="008D285F" w:rsidRPr="00600E15">
        <w:rPr>
          <w:b/>
        </w:rPr>
        <w:t xml:space="preserve"> </w:t>
      </w:r>
      <w:r w:rsidR="00FA1445" w:rsidRPr="00600E15">
        <w:t xml:space="preserve">iznose </w:t>
      </w:r>
      <w:r w:rsidR="00600E15">
        <w:t>20.118.419,46</w:t>
      </w:r>
      <w:r w:rsidRPr="00600E15">
        <w:t xml:space="preserve"> kn</w:t>
      </w:r>
      <w:r w:rsidR="00600E15">
        <w:t>, što se o</w:t>
      </w:r>
      <w:r w:rsidRPr="00600E15">
        <w:t xml:space="preserve">dnosi na </w:t>
      </w:r>
      <w:r w:rsidR="00600E15">
        <w:t>kupnju 34</w:t>
      </w:r>
      <w:r w:rsidRPr="00600E15">
        <w:t xml:space="preserve"> stan</w:t>
      </w:r>
      <w:r w:rsidR="00600E15">
        <w:t>a</w:t>
      </w:r>
      <w:r w:rsidR="00F649CE" w:rsidRPr="00600E15">
        <w:t xml:space="preserve"> i dokup </w:t>
      </w:r>
      <w:r w:rsidR="00600E15">
        <w:t>3</w:t>
      </w:r>
      <w:r w:rsidRPr="00600E15">
        <w:t xml:space="preserve"> zemljišta za potrebe stambenog zbrinjavanja iz nadležnosti SDUOSZ-a. Sredstva su plaćena od strane Agencije za promet nekretnina, te dane na upravljanje SDUOSZ.</w:t>
      </w:r>
      <w:r w:rsidR="00964D65" w:rsidRPr="00600E15">
        <w:t xml:space="preserve"> </w:t>
      </w:r>
    </w:p>
    <w:p w:rsidR="009506AD" w:rsidRDefault="008D285F" w:rsidP="006A02B8">
      <w:pPr>
        <w:jc w:val="both"/>
      </w:pPr>
      <w:r>
        <w:t xml:space="preserve">Promjene na obujmu na strani </w:t>
      </w:r>
      <w:r w:rsidRPr="008D285F">
        <w:rPr>
          <w:b/>
        </w:rPr>
        <w:t>smanjenja</w:t>
      </w:r>
      <w:r>
        <w:t xml:space="preserve"> vrijednosti</w:t>
      </w:r>
      <w:r w:rsidR="009A1AC3">
        <w:t xml:space="preserve"> iznose </w:t>
      </w:r>
      <w:r w:rsidR="001C15E9">
        <w:t>48.653.449,98</w:t>
      </w:r>
      <w:r w:rsidR="009506AD" w:rsidRPr="00C7056E">
        <w:rPr>
          <w:color w:val="FF0000"/>
        </w:rPr>
        <w:t xml:space="preserve"> </w:t>
      </w:r>
      <w:r w:rsidR="009506AD">
        <w:t xml:space="preserve">kn. </w:t>
      </w:r>
      <w:r w:rsidR="00FB5349">
        <w:t>I</w:t>
      </w:r>
      <w:r w:rsidR="00527C2C">
        <w:t xml:space="preserve">znos od </w:t>
      </w:r>
      <w:r w:rsidR="00C7056E">
        <w:t>39.605.554,19</w:t>
      </w:r>
      <w:r w:rsidR="009506AD">
        <w:t xml:space="preserve"> kn odnosi se na razliku nabavne vrijednosti i prodajne cijene za prodane stanove izvan područja od posebne državne skrbi za jednokratno plaćanje i obročnu otplatu.</w:t>
      </w:r>
    </w:p>
    <w:p w:rsidR="003A72FF" w:rsidRPr="00FC2498" w:rsidRDefault="009A1AC3" w:rsidP="006A02B8">
      <w:pPr>
        <w:jc w:val="both"/>
      </w:pPr>
      <w:r>
        <w:t xml:space="preserve">Iznos od </w:t>
      </w:r>
      <w:r w:rsidR="008F55F8">
        <w:t>3.256.019,77</w:t>
      </w:r>
      <w:r w:rsidR="009506AD">
        <w:t xml:space="preserve"> kn odnosi se na otpis potraživanja za najam stambenih jedinica u vlasništvu RH temeljem Odluke</w:t>
      </w:r>
      <w:r w:rsidR="00AA4567">
        <w:t xml:space="preserve"> o </w:t>
      </w:r>
      <w:r w:rsidR="00690674">
        <w:t>otpisu potraživanja s naslova najma stambenih jedinica u vlasništvu RH kojim upravlja SDUOSZ</w:t>
      </w:r>
      <w:r w:rsidR="008F55F8">
        <w:t>, iznos od 9.408,30</w:t>
      </w:r>
      <w:r w:rsidR="00527C2C">
        <w:t xml:space="preserve"> kn otpis najma korisnicima temeljem rješenja Minis</w:t>
      </w:r>
      <w:r w:rsidR="00C75619">
        <w:t xml:space="preserve">tarstva financija o otpisu duga fizičkim osobama. Iznos od </w:t>
      </w:r>
      <w:r w:rsidR="008F55F8">
        <w:t xml:space="preserve">5.534.935,04 kn odnosi se na otpis </w:t>
      </w:r>
      <w:r w:rsidR="009F491B">
        <w:t>potraživanja za najam stambenih jedinica, tj. korekciju zaduženja temeljem rezultata revizije korištenja i podataka o stambenim jedinicama vezano uz najam.</w:t>
      </w:r>
      <w:r w:rsidR="00527C2C">
        <w:t xml:space="preserve">Ostatak iznosa od </w:t>
      </w:r>
      <w:r w:rsidR="001C15E9" w:rsidRPr="001C15E9">
        <w:t>244.532,68</w:t>
      </w:r>
      <w:r w:rsidR="003A72FF" w:rsidRPr="001C15E9">
        <w:t xml:space="preserve"> </w:t>
      </w:r>
      <w:r w:rsidR="003A72FF">
        <w:t xml:space="preserve">kn odnosi se na neamortiziranu vrijednost rashodovane imovine. </w:t>
      </w:r>
    </w:p>
    <w:p w:rsidR="00FC2498" w:rsidRDefault="00FC2498" w:rsidP="006A02B8">
      <w:pPr>
        <w:jc w:val="both"/>
      </w:pPr>
    </w:p>
    <w:p w:rsidR="006A02B8" w:rsidRDefault="006A02B8" w:rsidP="006A02B8">
      <w:pPr>
        <w:jc w:val="both"/>
      </w:pPr>
      <w:r>
        <w:t xml:space="preserve">Zagreb, </w:t>
      </w:r>
      <w:r w:rsidR="00D15B15">
        <w:t>03</w:t>
      </w:r>
      <w:r w:rsidR="006E09B7">
        <w:t>.</w:t>
      </w:r>
      <w:r w:rsidR="00D15B15">
        <w:t xml:space="preserve"> veljače</w:t>
      </w:r>
      <w:bookmarkStart w:id="0" w:name="_GoBack"/>
      <w:bookmarkEnd w:id="0"/>
      <w:r>
        <w:t xml:space="preserve"> </w:t>
      </w:r>
      <w:r w:rsidR="004C25A4">
        <w:t xml:space="preserve"> 202</w:t>
      </w:r>
      <w:r w:rsidR="009F491B">
        <w:t>3</w:t>
      </w:r>
      <w:r>
        <w:t>. godine</w:t>
      </w:r>
    </w:p>
    <w:p w:rsidR="00FD2865" w:rsidRDefault="00FD2865" w:rsidP="00FD2865">
      <w:pPr>
        <w:jc w:val="both"/>
      </w:pPr>
      <w:r w:rsidRPr="00B572A6">
        <w:t xml:space="preserve">  </w:t>
      </w:r>
    </w:p>
    <w:p w:rsidR="00FD2865" w:rsidRDefault="00FD2865" w:rsidP="00FD2865">
      <w:pPr>
        <w:ind w:left="5672"/>
        <w:jc w:val="both"/>
        <w:rPr>
          <w:b/>
        </w:rPr>
      </w:pPr>
    </w:p>
    <w:p w:rsidR="009F4759" w:rsidRDefault="009F4759" w:rsidP="00FD2865">
      <w:pPr>
        <w:ind w:left="5672"/>
        <w:jc w:val="both"/>
        <w:rPr>
          <w:b/>
        </w:rPr>
      </w:pPr>
    </w:p>
    <w:p w:rsidR="009F4759" w:rsidRDefault="009F4759" w:rsidP="009F475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75619">
        <w:rPr>
          <w:b/>
        </w:rPr>
        <w:t xml:space="preserve">       </w:t>
      </w:r>
      <w:r w:rsidR="009F491B">
        <w:rPr>
          <w:b/>
        </w:rPr>
        <w:t xml:space="preserve">ZAMJENICA </w:t>
      </w:r>
      <w:r>
        <w:rPr>
          <w:b/>
        </w:rPr>
        <w:t xml:space="preserve"> DRŽAVN</w:t>
      </w:r>
      <w:r w:rsidR="009F491B">
        <w:rPr>
          <w:b/>
        </w:rPr>
        <w:t>OG</w:t>
      </w:r>
      <w:r>
        <w:rPr>
          <w:b/>
        </w:rPr>
        <w:t xml:space="preserve">  TAJNIK</w:t>
      </w:r>
      <w:r w:rsidR="009F491B">
        <w:rPr>
          <w:b/>
        </w:rPr>
        <w:t>A</w:t>
      </w:r>
    </w:p>
    <w:p w:rsidR="009F4759" w:rsidRPr="006A02B8" w:rsidRDefault="009F491B" w:rsidP="009F491B">
      <w:pPr>
        <w:jc w:val="both"/>
        <w:rPr>
          <w:b/>
        </w:rPr>
      </w:pPr>
      <w:r>
        <w:rPr>
          <w:b/>
        </w:rPr>
        <w:t xml:space="preserve"> </w:t>
      </w:r>
    </w:p>
    <w:p w:rsidR="00FD2865" w:rsidRPr="006A02B8" w:rsidRDefault="009F4759" w:rsidP="006E09B7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91B">
        <w:rPr>
          <w:b/>
        </w:rPr>
        <w:t xml:space="preserve">               Tatjana Vukobratović Spasojević</w:t>
      </w:r>
      <w:r>
        <w:rPr>
          <w:b/>
        </w:rPr>
        <w:t xml:space="preserve">            </w:t>
      </w:r>
      <w:r w:rsidR="00C75619">
        <w:rPr>
          <w:b/>
        </w:rPr>
        <w:t xml:space="preserve">          </w:t>
      </w:r>
    </w:p>
    <w:sectPr w:rsidR="00FD2865" w:rsidRPr="006A02B8" w:rsidSect="00012DE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8D" w:rsidRDefault="00D2328D" w:rsidP="00F61147">
      <w:r>
        <w:separator/>
      </w:r>
    </w:p>
  </w:endnote>
  <w:endnote w:type="continuationSeparator" w:id="0">
    <w:p w:rsidR="00D2328D" w:rsidRDefault="00D2328D" w:rsidP="00F6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720442"/>
      <w:docPartObj>
        <w:docPartGallery w:val="Page Numbers (Bottom of Page)"/>
        <w:docPartUnique/>
      </w:docPartObj>
    </w:sdtPr>
    <w:sdtEndPr/>
    <w:sdtContent>
      <w:p w:rsidR="00F61147" w:rsidRDefault="00F611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15">
          <w:rPr>
            <w:noProof/>
          </w:rPr>
          <w:t>7</w:t>
        </w:r>
        <w:r>
          <w:fldChar w:fldCharType="end"/>
        </w:r>
      </w:p>
    </w:sdtContent>
  </w:sdt>
  <w:p w:rsidR="00F61147" w:rsidRDefault="00F61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8D" w:rsidRDefault="00D2328D" w:rsidP="00F61147">
      <w:r>
        <w:separator/>
      </w:r>
    </w:p>
  </w:footnote>
  <w:footnote w:type="continuationSeparator" w:id="0">
    <w:p w:rsidR="00D2328D" w:rsidRDefault="00D2328D" w:rsidP="00F6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3256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7D75"/>
    <w:multiLevelType w:val="hybridMultilevel"/>
    <w:tmpl w:val="79F2B0EC"/>
    <w:lvl w:ilvl="0" w:tplc="E70C4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5A04BA"/>
    <w:multiLevelType w:val="hybridMultilevel"/>
    <w:tmpl w:val="0014395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45034"/>
    <w:multiLevelType w:val="hybridMultilevel"/>
    <w:tmpl w:val="3ECA4BB8"/>
    <w:lvl w:ilvl="0" w:tplc="B3CE5B2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0767DA4"/>
    <w:multiLevelType w:val="hybridMultilevel"/>
    <w:tmpl w:val="B5446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5693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1447"/>
    <w:multiLevelType w:val="hybridMultilevel"/>
    <w:tmpl w:val="9E825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42267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F6161"/>
    <w:multiLevelType w:val="hybridMultilevel"/>
    <w:tmpl w:val="900C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DB"/>
    <w:rsid w:val="00000AB7"/>
    <w:rsid w:val="00000CCC"/>
    <w:rsid w:val="00004DB9"/>
    <w:rsid w:val="0000678A"/>
    <w:rsid w:val="0000748A"/>
    <w:rsid w:val="000103C8"/>
    <w:rsid w:val="00010CE9"/>
    <w:rsid w:val="000110D4"/>
    <w:rsid w:val="00012DE8"/>
    <w:rsid w:val="00015B93"/>
    <w:rsid w:val="000230F2"/>
    <w:rsid w:val="00024518"/>
    <w:rsid w:val="000253BB"/>
    <w:rsid w:val="000267EC"/>
    <w:rsid w:val="0002691A"/>
    <w:rsid w:val="00030058"/>
    <w:rsid w:val="00032D92"/>
    <w:rsid w:val="0003771E"/>
    <w:rsid w:val="00037FDA"/>
    <w:rsid w:val="00046CB9"/>
    <w:rsid w:val="00047CEB"/>
    <w:rsid w:val="0005002B"/>
    <w:rsid w:val="000522C7"/>
    <w:rsid w:val="00053190"/>
    <w:rsid w:val="0006193A"/>
    <w:rsid w:val="0006616E"/>
    <w:rsid w:val="00067C1C"/>
    <w:rsid w:val="00074CE3"/>
    <w:rsid w:val="000805C5"/>
    <w:rsid w:val="0008227C"/>
    <w:rsid w:val="000843CB"/>
    <w:rsid w:val="000846C4"/>
    <w:rsid w:val="00087E5B"/>
    <w:rsid w:val="00087F74"/>
    <w:rsid w:val="00090C35"/>
    <w:rsid w:val="00096035"/>
    <w:rsid w:val="00097BC3"/>
    <w:rsid w:val="000A7B34"/>
    <w:rsid w:val="000B34AA"/>
    <w:rsid w:val="000C1190"/>
    <w:rsid w:val="000C2CF3"/>
    <w:rsid w:val="000C39CE"/>
    <w:rsid w:val="000C616D"/>
    <w:rsid w:val="000D01F9"/>
    <w:rsid w:val="000D0985"/>
    <w:rsid w:val="000D0C12"/>
    <w:rsid w:val="000D6FDD"/>
    <w:rsid w:val="000E078A"/>
    <w:rsid w:val="000E4AFA"/>
    <w:rsid w:val="000E5369"/>
    <w:rsid w:val="000F02CC"/>
    <w:rsid w:val="000F1F9A"/>
    <w:rsid w:val="000F20F1"/>
    <w:rsid w:val="000F2C25"/>
    <w:rsid w:val="000F2EC6"/>
    <w:rsid w:val="000F2F71"/>
    <w:rsid w:val="000F433A"/>
    <w:rsid w:val="000F452A"/>
    <w:rsid w:val="001024E5"/>
    <w:rsid w:val="001055F6"/>
    <w:rsid w:val="00105F98"/>
    <w:rsid w:val="00111422"/>
    <w:rsid w:val="00112EB7"/>
    <w:rsid w:val="001133F3"/>
    <w:rsid w:val="00114937"/>
    <w:rsid w:val="00117B0C"/>
    <w:rsid w:val="00132805"/>
    <w:rsid w:val="00132B97"/>
    <w:rsid w:val="00136A7C"/>
    <w:rsid w:val="00140064"/>
    <w:rsid w:val="00144C23"/>
    <w:rsid w:val="00145885"/>
    <w:rsid w:val="00152A57"/>
    <w:rsid w:val="00154926"/>
    <w:rsid w:val="00155FB2"/>
    <w:rsid w:val="00166314"/>
    <w:rsid w:val="001666C1"/>
    <w:rsid w:val="00170146"/>
    <w:rsid w:val="00170E0B"/>
    <w:rsid w:val="00172449"/>
    <w:rsid w:val="001730D5"/>
    <w:rsid w:val="0017519C"/>
    <w:rsid w:val="00175888"/>
    <w:rsid w:val="00176F57"/>
    <w:rsid w:val="001815C8"/>
    <w:rsid w:val="001817BC"/>
    <w:rsid w:val="00183D10"/>
    <w:rsid w:val="001935CC"/>
    <w:rsid w:val="001A0751"/>
    <w:rsid w:val="001A2112"/>
    <w:rsid w:val="001A2D89"/>
    <w:rsid w:val="001A35B7"/>
    <w:rsid w:val="001A59DF"/>
    <w:rsid w:val="001A6718"/>
    <w:rsid w:val="001B3BB7"/>
    <w:rsid w:val="001B3BD0"/>
    <w:rsid w:val="001B3FDC"/>
    <w:rsid w:val="001B5DA4"/>
    <w:rsid w:val="001B6B22"/>
    <w:rsid w:val="001B7741"/>
    <w:rsid w:val="001C15E9"/>
    <w:rsid w:val="001C2F49"/>
    <w:rsid w:val="001D10DA"/>
    <w:rsid w:val="001D4219"/>
    <w:rsid w:val="001D5254"/>
    <w:rsid w:val="001D5EEB"/>
    <w:rsid w:val="001E2575"/>
    <w:rsid w:val="001F055F"/>
    <w:rsid w:val="001F0E42"/>
    <w:rsid w:val="001F5CD3"/>
    <w:rsid w:val="002004F6"/>
    <w:rsid w:val="00201C27"/>
    <w:rsid w:val="00202225"/>
    <w:rsid w:val="00202F20"/>
    <w:rsid w:val="002072B0"/>
    <w:rsid w:val="00212DEB"/>
    <w:rsid w:val="00222D73"/>
    <w:rsid w:val="00231CA6"/>
    <w:rsid w:val="002405D9"/>
    <w:rsid w:val="002450FB"/>
    <w:rsid w:val="0024572F"/>
    <w:rsid w:val="00250061"/>
    <w:rsid w:val="002503BB"/>
    <w:rsid w:val="0025691B"/>
    <w:rsid w:val="002571C0"/>
    <w:rsid w:val="0025745F"/>
    <w:rsid w:val="00260D34"/>
    <w:rsid w:val="00263176"/>
    <w:rsid w:val="0026534F"/>
    <w:rsid w:val="00266DFE"/>
    <w:rsid w:val="00270117"/>
    <w:rsid w:val="00270E32"/>
    <w:rsid w:val="00274CB8"/>
    <w:rsid w:val="00275C16"/>
    <w:rsid w:val="00275FB6"/>
    <w:rsid w:val="002807F0"/>
    <w:rsid w:val="0028110F"/>
    <w:rsid w:val="0028209D"/>
    <w:rsid w:val="00282F82"/>
    <w:rsid w:val="00283F27"/>
    <w:rsid w:val="00286624"/>
    <w:rsid w:val="00293939"/>
    <w:rsid w:val="00296E54"/>
    <w:rsid w:val="00296F6E"/>
    <w:rsid w:val="00297955"/>
    <w:rsid w:val="002A7BD8"/>
    <w:rsid w:val="002B3972"/>
    <w:rsid w:val="002B39DC"/>
    <w:rsid w:val="002B6CE0"/>
    <w:rsid w:val="002C1706"/>
    <w:rsid w:val="002C32C3"/>
    <w:rsid w:val="002C3A9E"/>
    <w:rsid w:val="002C5345"/>
    <w:rsid w:val="002C5A3D"/>
    <w:rsid w:val="002C6FFD"/>
    <w:rsid w:val="002D3B3E"/>
    <w:rsid w:val="002D57CB"/>
    <w:rsid w:val="002D63DC"/>
    <w:rsid w:val="002E04C8"/>
    <w:rsid w:val="002E1897"/>
    <w:rsid w:val="002E1A1D"/>
    <w:rsid w:val="002E3549"/>
    <w:rsid w:val="002F20E6"/>
    <w:rsid w:val="002F2C9C"/>
    <w:rsid w:val="002F4FCC"/>
    <w:rsid w:val="002F7A9E"/>
    <w:rsid w:val="00300934"/>
    <w:rsid w:val="00305D9B"/>
    <w:rsid w:val="00314427"/>
    <w:rsid w:val="003157C7"/>
    <w:rsid w:val="00316387"/>
    <w:rsid w:val="003211A5"/>
    <w:rsid w:val="0032186F"/>
    <w:rsid w:val="00323554"/>
    <w:rsid w:val="00325BE0"/>
    <w:rsid w:val="003344B4"/>
    <w:rsid w:val="00345094"/>
    <w:rsid w:val="00347236"/>
    <w:rsid w:val="00347DC3"/>
    <w:rsid w:val="00352264"/>
    <w:rsid w:val="0035769D"/>
    <w:rsid w:val="00360944"/>
    <w:rsid w:val="003614ED"/>
    <w:rsid w:val="003642D5"/>
    <w:rsid w:val="003735CC"/>
    <w:rsid w:val="00374C80"/>
    <w:rsid w:val="0037572C"/>
    <w:rsid w:val="00375ED0"/>
    <w:rsid w:val="00381D39"/>
    <w:rsid w:val="00384E72"/>
    <w:rsid w:val="00394653"/>
    <w:rsid w:val="00397A43"/>
    <w:rsid w:val="003A5010"/>
    <w:rsid w:val="003A5D59"/>
    <w:rsid w:val="003A6462"/>
    <w:rsid w:val="003A7238"/>
    <w:rsid w:val="003A72FF"/>
    <w:rsid w:val="003A7A06"/>
    <w:rsid w:val="003B1143"/>
    <w:rsid w:val="003C1018"/>
    <w:rsid w:val="003C33F3"/>
    <w:rsid w:val="003C51E2"/>
    <w:rsid w:val="003C7A68"/>
    <w:rsid w:val="003D0F74"/>
    <w:rsid w:val="003D7343"/>
    <w:rsid w:val="003E14A6"/>
    <w:rsid w:val="003E4D5D"/>
    <w:rsid w:val="003F13AC"/>
    <w:rsid w:val="003F1D1C"/>
    <w:rsid w:val="003F1ECB"/>
    <w:rsid w:val="003F3004"/>
    <w:rsid w:val="003F344A"/>
    <w:rsid w:val="003F36F0"/>
    <w:rsid w:val="003F482F"/>
    <w:rsid w:val="003F77D2"/>
    <w:rsid w:val="004005BE"/>
    <w:rsid w:val="0040397C"/>
    <w:rsid w:val="004158DD"/>
    <w:rsid w:val="00420568"/>
    <w:rsid w:val="0042238E"/>
    <w:rsid w:val="00423355"/>
    <w:rsid w:val="00423EF0"/>
    <w:rsid w:val="004252E3"/>
    <w:rsid w:val="00426252"/>
    <w:rsid w:val="00426B16"/>
    <w:rsid w:val="00430087"/>
    <w:rsid w:val="00430CC2"/>
    <w:rsid w:val="004361DF"/>
    <w:rsid w:val="0043751E"/>
    <w:rsid w:val="00444A48"/>
    <w:rsid w:val="00445513"/>
    <w:rsid w:val="0044740F"/>
    <w:rsid w:val="00450293"/>
    <w:rsid w:val="00450327"/>
    <w:rsid w:val="00460D00"/>
    <w:rsid w:val="00461F3F"/>
    <w:rsid w:val="00462A6D"/>
    <w:rsid w:val="0047619C"/>
    <w:rsid w:val="004770DE"/>
    <w:rsid w:val="00477875"/>
    <w:rsid w:val="00483593"/>
    <w:rsid w:val="004879D2"/>
    <w:rsid w:val="0049215D"/>
    <w:rsid w:val="00492AB9"/>
    <w:rsid w:val="00496400"/>
    <w:rsid w:val="00497F10"/>
    <w:rsid w:val="004A155A"/>
    <w:rsid w:val="004A2339"/>
    <w:rsid w:val="004A49C0"/>
    <w:rsid w:val="004B1AEA"/>
    <w:rsid w:val="004B2ED9"/>
    <w:rsid w:val="004B4396"/>
    <w:rsid w:val="004B4BE1"/>
    <w:rsid w:val="004B6682"/>
    <w:rsid w:val="004B71B2"/>
    <w:rsid w:val="004C25A4"/>
    <w:rsid w:val="004C27FE"/>
    <w:rsid w:val="004C3B19"/>
    <w:rsid w:val="004C47EC"/>
    <w:rsid w:val="004C4C73"/>
    <w:rsid w:val="004C5683"/>
    <w:rsid w:val="004D5203"/>
    <w:rsid w:val="004D5C13"/>
    <w:rsid w:val="004E0152"/>
    <w:rsid w:val="004E1BA5"/>
    <w:rsid w:val="004E338C"/>
    <w:rsid w:val="004E60D3"/>
    <w:rsid w:val="004E7B95"/>
    <w:rsid w:val="004F1C78"/>
    <w:rsid w:val="004F1F51"/>
    <w:rsid w:val="004F385A"/>
    <w:rsid w:val="00500769"/>
    <w:rsid w:val="005046E2"/>
    <w:rsid w:val="00506F36"/>
    <w:rsid w:val="0051156B"/>
    <w:rsid w:val="0051552A"/>
    <w:rsid w:val="00523051"/>
    <w:rsid w:val="005250B6"/>
    <w:rsid w:val="00526A09"/>
    <w:rsid w:val="00527C2C"/>
    <w:rsid w:val="005330C4"/>
    <w:rsid w:val="005342A8"/>
    <w:rsid w:val="005379E7"/>
    <w:rsid w:val="00545DE1"/>
    <w:rsid w:val="00546BA5"/>
    <w:rsid w:val="0054720F"/>
    <w:rsid w:val="005478C1"/>
    <w:rsid w:val="00550B97"/>
    <w:rsid w:val="00550C22"/>
    <w:rsid w:val="00552646"/>
    <w:rsid w:val="00553762"/>
    <w:rsid w:val="0055511C"/>
    <w:rsid w:val="00556E09"/>
    <w:rsid w:val="00565EB4"/>
    <w:rsid w:val="00571185"/>
    <w:rsid w:val="00572488"/>
    <w:rsid w:val="00572CFF"/>
    <w:rsid w:val="00581946"/>
    <w:rsid w:val="005841BC"/>
    <w:rsid w:val="00587046"/>
    <w:rsid w:val="00593A55"/>
    <w:rsid w:val="005A05AD"/>
    <w:rsid w:val="005A1075"/>
    <w:rsid w:val="005A5AD1"/>
    <w:rsid w:val="005A5EE9"/>
    <w:rsid w:val="005B4A0B"/>
    <w:rsid w:val="005B624C"/>
    <w:rsid w:val="005C0F6A"/>
    <w:rsid w:val="005C451F"/>
    <w:rsid w:val="005C7B73"/>
    <w:rsid w:val="005C7EBA"/>
    <w:rsid w:val="005D0336"/>
    <w:rsid w:val="005D0703"/>
    <w:rsid w:val="005D0E74"/>
    <w:rsid w:val="005D1D0F"/>
    <w:rsid w:val="005D2AA2"/>
    <w:rsid w:val="005D4AFB"/>
    <w:rsid w:val="005D5CB5"/>
    <w:rsid w:val="005E640D"/>
    <w:rsid w:val="005F275F"/>
    <w:rsid w:val="005F36E4"/>
    <w:rsid w:val="005F40FF"/>
    <w:rsid w:val="00600E15"/>
    <w:rsid w:val="006045DE"/>
    <w:rsid w:val="00605E79"/>
    <w:rsid w:val="0060611F"/>
    <w:rsid w:val="00607A68"/>
    <w:rsid w:val="006114E5"/>
    <w:rsid w:val="0061313C"/>
    <w:rsid w:val="00614F90"/>
    <w:rsid w:val="00614FFA"/>
    <w:rsid w:val="00615466"/>
    <w:rsid w:val="00617CB9"/>
    <w:rsid w:val="00617F0D"/>
    <w:rsid w:val="00620ECE"/>
    <w:rsid w:val="00622E73"/>
    <w:rsid w:val="00627466"/>
    <w:rsid w:val="00632BC7"/>
    <w:rsid w:val="00633915"/>
    <w:rsid w:val="00634F54"/>
    <w:rsid w:val="00636067"/>
    <w:rsid w:val="0063610E"/>
    <w:rsid w:val="006367BC"/>
    <w:rsid w:val="00637B4F"/>
    <w:rsid w:val="0064316D"/>
    <w:rsid w:val="00647570"/>
    <w:rsid w:val="006526BF"/>
    <w:rsid w:val="006572E0"/>
    <w:rsid w:val="00657418"/>
    <w:rsid w:val="00657B9C"/>
    <w:rsid w:val="00660206"/>
    <w:rsid w:val="00663A02"/>
    <w:rsid w:val="00667E8C"/>
    <w:rsid w:val="006738CE"/>
    <w:rsid w:val="006771E7"/>
    <w:rsid w:val="00677458"/>
    <w:rsid w:val="006827C4"/>
    <w:rsid w:val="00682E6B"/>
    <w:rsid w:val="006830C0"/>
    <w:rsid w:val="00685330"/>
    <w:rsid w:val="00690674"/>
    <w:rsid w:val="0069150B"/>
    <w:rsid w:val="006938A4"/>
    <w:rsid w:val="0069696F"/>
    <w:rsid w:val="006A02B8"/>
    <w:rsid w:val="006A37DE"/>
    <w:rsid w:val="006A4100"/>
    <w:rsid w:val="006A44AE"/>
    <w:rsid w:val="006A621C"/>
    <w:rsid w:val="006A65D2"/>
    <w:rsid w:val="006A67CC"/>
    <w:rsid w:val="006B0400"/>
    <w:rsid w:val="006B0962"/>
    <w:rsid w:val="006B0B94"/>
    <w:rsid w:val="006B1E57"/>
    <w:rsid w:val="006B3528"/>
    <w:rsid w:val="006B56CC"/>
    <w:rsid w:val="006C19CB"/>
    <w:rsid w:val="006D0153"/>
    <w:rsid w:val="006D66CF"/>
    <w:rsid w:val="006E09B7"/>
    <w:rsid w:val="006E0C26"/>
    <w:rsid w:val="006E1CA2"/>
    <w:rsid w:val="006E653B"/>
    <w:rsid w:val="006E6EB6"/>
    <w:rsid w:val="006F050D"/>
    <w:rsid w:val="006F0738"/>
    <w:rsid w:val="006F502E"/>
    <w:rsid w:val="006F596A"/>
    <w:rsid w:val="00700EB7"/>
    <w:rsid w:val="00701165"/>
    <w:rsid w:val="00706D3A"/>
    <w:rsid w:val="007101C3"/>
    <w:rsid w:val="00714AA7"/>
    <w:rsid w:val="0072643A"/>
    <w:rsid w:val="007272A2"/>
    <w:rsid w:val="0072770D"/>
    <w:rsid w:val="00730A4B"/>
    <w:rsid w:val="00730AA8"/>
    <w:rsid w:val="00736AF7"/>
    <w:rsid w:val="00741436"/>
    <w:rsid w:val="00744CB0"/>
    <w:rsid w:val="00745103"/>
    <w:rsid w:val="00745AA6"/>
    <w:rsid w:val="00747E96"/>
    <w:rsid w:val="00751B3D"/>
    <w:rsid w:val="00761A4A"/>
    <w:rsid w:val="00762332"/>
    <w:rsid w:val="00762AFA"/>
    <w:rsid w:val="007651F9"/>
    <w:rsid w:val="00765250"/>
    <w:rsid w:val="0077319F"/>
    <w:rsid w:val="007749CA"/>
    <w:rsid w:val="0077697D"/>
    <w:rsid w:val="007826B1"/>
    <w:rsid w:val="0079303B"/>
    <w:rsid w:val="00796EDB"/>
    <w:rsid w:val="007A024D"/>
    <w:rsid w:val="007A26FB"/>
    <w:rsid w:val="007A2921"/>
    <w:rsid w:val="007A427B"/>
    <w:rsid w:val="007A47B7"/>
    <w:rsid w:val="007A5EB1"/>
    <w:rsid w:val="007B3DA4"/>
    <w:rsid w:val="007C2BEA"/>
    <w:rsid w:val="007C3054"/>
    <w:rsid w:val="007C3E19"/>
    <w:rsid w:val="007C478D"/>
    <w:rsid w:val="007C675F"/>
    <w:rsid w:val="007C6F6D"/>
    <w:rsid w:val="007C7287"/>
    <w:rsid w:val="007E06AC"/>
    <w:rsid w:val="007E080B"/>
    <w:rsid w:val="007E164C"/>
    <w:rsid w:val="007E23C2"/>
    <w:rsid w:val="007E3FB8"/>
    <w:rsid w:val="007E53C3"/>
    <w:rsid w:val="007E7C34"/>
    <w:rsid w:val="007F0D27"/>
    <w:rsid w:val="007F16D7"/>
    <w:rsid w:val="007F1D99"/>
    <w:rsid w:val="007F6B9D"/>
    <w:rsid w:val="007F747F"/>
    <w:rsid w:val="007F7855"/>
    <w:rsid w:val="00807FB6"/>
    <w:rsid w:val="0081330C"/>
    <w:rsid w:val="00822FE0"/>
    <w:rsid w:val="0082423C"/>
    <w:rsid w:val="0082578A"/>
    <w:rsid w:val="00825FAE"/>
    <w:rsid w:val="0083326A"/>
    <w:rsid w:val="008367AE"/>
    <w:rsid w:val="0083710C"/>
    <w:rsid w:val="00837C08"/>
    <w:rsid w:val="00837EC8"/>
    <w:rsid w:val="00837F21"/>
    <w:rsid w:val="00841F91"/>
    <w:rsid w:val="00842DBD"/>
    <w:rsid w:val="00843BD5"/>
    <w:rsid w:val="00845814"/>
    <w:rsid w:val="00853ED2"/>
    <w:rsid w:val="0085731E"/>
    <w:rsid w:val="00857AA7"/>
    <w:rsid w:val="00862405"/>
    <w:rsid w:val="008640C5"/>
    <w:rsid w:val="00870487"/>
    <w:rsid w:val="00871A30"/>
    <w:rsid w:val="00875CB5"/>
    <w:rsid w:val="00877D9B"/>
    <w:rsid w:val="0088035F"/>
    <w:rsid w:val="00880AC8"/>
    <w:rsid w:val="008818E9"/>
    <w:rsid w:val="00881BFA"/>
    <w:rsid w:val="00882CF0"/>
    <w:rsid w:val="008834A0"/>
    <w:rsid w:val="00884F99"/>
    <w:rsid w:val="00886291"/>
    <w:rsid w:val="0088714B"/>
    <w:rsid w:val="00887304"/>
    <w:rsid w:val="0089301D"/>
    <w:rsid w:val="00894E1A"/>
    <w:rsid w:val="008A0B20"/>
    <w:rsid w:val="008A36F9"/>
    <w:rsid w:val="008A49A9"/>
    <w:rsid w:val="008A6741"/>
    <w:rsid w:val="008B4B82"/>
    <w:rsid w:val="008C539F"/>
    <w:rsid w:val="008C566F"/>
    <w:rsid w:val="008C61C7"/>
    <w:rsid w:val="008C6AE7"/>
    <w:rsid w:val="008D0AAA"/>
    <w:rsid w:val="008D285F"/>
    <w:rsid w:val="008D38A0"/>
    <w:rsid w:val="008D40FB"/>
    <w:rsid w:val="008D678B"/>
    <w:rsid w:val="008E1279"/>
    <w:rsid w:val="008E4D48"/>
    <w:rsid w:val="008E5468"/>
    <w:rsid w:val="008F014D"/>
    <w:rsid w:val="008F1730"/>
    <w:rsid w:val="008F3FD9"/>
    <w:rsid w:val="008F5247"/>
    <w:rsid w:val="008F55F8"/>
    <w:rsid w:val="008F5ED8"/>
    <w:rsid w:val="008F602D"/>
    <w:rsid w:val="00900AC6"/>
    <w:rsid w:val="0090199E"/>
    <w:rsid w:val="0090375F"/>
    <w:rsid w:val="00911241"/>
    <w:rsid w:val="0091210A"/>
    <w:rsid w:val="00914E76"/>
    <w:rsid w:val="00916BC7"/>
    <w:rsid w:val="00916FCF"/>
    <w:rsid w:val="00923E5E"/>
    <w:rsid w:val="00926785"/>
    <w:rsid w:val="00926F07"/>
    <w:rsid w:val="009325CE"/>
    <w:rsid w:val="00932E88"/>
    <w:rsid w:val="009400C2"/>
    <w:rsid w:val="00942D88"/>
    <w:rsid w:val="00942F9D"/>
    <w:rsid w:val="00946A7B"/>
    <w:rsid w:val="00947FC9"/>
    <w:rsid w:val="009506AD"/>
    <w:rsid w:val="00953B1A"/>
    <w:rsid w:val="00953EA5"/>
    <w:rsid w:val="009541A2"/>
    <w:rsid w:val="009609FB"/>
    <w:rsid w:val="009625CA"/>
    <w:rsid w:val="00963B90"/>
    <w:rsid w:val="00964D65"/>
    <w:rsid w:val="00964FF9"/>
    <w:rsid w:val="00966179"/>
    <w:rsid w:val="009662EA"/>
    <w:rsid w:val="009669DC"/>
    <w:rsid w:val="00967B8B"/>
    <w:rsid w:val="00970C79"/>
    <w:rsid w:val="00971EAE"/>
    <w:rsid w:val="00973BF1"/>
    <w:rsid w:val="0097562B"/>
    <w:rsid w:val="00976303"/>
    <w:rsid w:val="00982A9D"/>
    <w:rsid w:val="009837C0"/>
    <w:rsid w:val="00986173"/>
    <w:rsid w:val="00986DD5"/>
    <w:rsid w:val="00987275"/>
    <w:rsid w:val="00987709"/>
    <w:rsid w:val="00990BFB"/>
    <w:rsid w:val="00992024"/>
    <w:rsid w:val="00992AF1"/>
    <w:rsid w:val="00995EA0"/>
    <w:rsid w:val="0099681A"/>
    <w:rsid w:val="009A1AC3"/>
    <w:rsid w:val="009A7C16"/>
    <w:rsid w:val="009C0113"/>
    <w:rsid w:val="009C553D"/>
    <w:rsid w:val="009C7453"/>
    <w:rsid w:val="009D3573"/>
    <w:rsid w:val="009D485C"/>
    <w:rsid w:val="009D4DCC"/>
    <w:rsid w:val="009E1256"/>
    <w:rsid w:val="009E57F5"/>
    <w:rsid w:val="009F2883"/>
    <w:rsid w:val="009F4759"/>
    <w:rsid w:val="009F491B"/>
    <w:rsid w:val="009F60B6"/>
    <w:rsid w:val="009F6158"/>
    <w:rsid w:val="00A01085"/>
    <w:rsid w:val="00A03FE4"/>
    <w:rsid w:val="00A05D33"/>
    <w:rsid w:val="00A07404"/>
    <w:rsid w:val="00A105FA"/>
    <w:rsid w:val="00A204EC"/>
    <w:rsid w:val="00A24724"/>
    <w:rsid w:val="00A26A53"/>
    <w:rsid w:val="00A36EAD"/>
    <w:rsid w:val="00A3742E"/>
    <w:rsid w:val="00A443DB"/>
    <w:rsid w:val="00A44D52"/>
    <w:rsid w:val="00A511F6"/>
    <w:rsid w:val="00A53CCC"/>
    <w:rsid w:val="00A5656C"/>
    <w:rsid w:val="00A62501"/>
    <w:rsid w:val="00A642E4"/>
    <w:rsid w:val="00A71DD4"/>
    <w:rsid w:val="00A72C30"/>
    <w:rsid w:val="00A74B50"/>
    <w:rsid w:val="00A8067D"/>
    <w:rsid w:val="00A81F64"/>
    <w:rsid w:val="00A85502"/>
    <w:rsid w:val="00A871E2"/>
    <w:rsid w:val="00A87708"/>
    <w:rsid w:val="00A90BA6"/>
    <w:rsid w:val="00A912AA"/>
    <w:rsid w:val="00A977F3"/>
    <w:rsid w:val="00AA0343"/>
    <w:rsid w:val="00AA105D"/>
    <w:rsid w:val="00AA117B"/>
    <w:rsid w:val="00AA4567"/>
    <w:rsid w:val="00AA56CA"/>
    <w:rsid w:val="00AA756B"/>
    <w:rsid w:val="00AB4DD3"/>
    <w:rsid w:val="00AB4E96"/>
    <w:rsid w:val="00AB6F5F"/>
    <w:rsid w:val="00AB76FB"/>
    <w:rsid w:val="00AC518B"/>
    <w:rsid w:val="00AC5AA4"/>
    <w:rsid w:val="00AD0673"/>
    <w:rsid w:val="00AD208E"/>
    <w:rsid w:val="00AD5D62"/>
    <w:rsid w:val="00AD63C9"/>
    <w:rsid w:val="00AE0339"/>
    <w:rsid w:val="00AE3F13"/>
    <w:rsid w:val="00AE4208"/>
    <w:rsid w:val="00AE6822"/>
    <w:rsid w:val="00AE7BC1"/>
    <w:rsid w:val="00AF605B"/>
    <w:rsid w:val="00AF661A"/>
    <w:rsid w:val="00AF6D43"/>
    <w:rsid w:val="00B07857"/>
    <w:rsid w:val="00B148FB"/>
    <w:rsid w:val="00B17411"/>
    <w:rsid w:val="00B304E7"/>
    <w:rsid w:val="00B30709"/>
    <w:rsid w:val="00B30D49"/>
    <w:rsid w:val="00B35BF0"/>
    <w:rsid w:val="00B37E67"/>
    <w:rsid w:val="00B40A4E"/>
    <w:rsid w:val="00B4163C"/>
    <w:rsid w:val="00B426B1"/>
    <w:rsid w:val="00B42751"/>
    <w:rsid w:val="00B4508C"/>
    <w:rsid w:val="00B455FC"/>
    <w:rsid w:val="00B45DFE"/>
    <w:rsid w:val="00B465C7"/>
    <w:rsid w:val="00B53D5B"/>
    <w:rsid w:val="00B56017"/>
    <w:rsid w:val="00B57E97"/>
    <w:rsid w:val="00B61BFA"/>
    <w:rsid w:val="00B674C9"/>
    <w:rsid w:val="00B67719"/>
    <w:rsid w:val="00B720DC"/>
    <w:rsid w:val="00B7747A"/>
    <w:rsid w:val="00B77FB4"/>
    <w:rsid w:val="00B80D29"/>
    <w:rsid w:val="00B82C65"/>
    <w:rsid w:val="00B86AB9"/>
    <w:rsid w:val="00B87E6B"/>
    <w:rsid w:val="00B93A6C"/>
    <w:rsid w:val="00B940A1"/>
    <w:rsid w:val="00BA04CE"/>
    <w:rsid w:val="00BA38E2"/>
    <w:rsid w:val="00BA50D7"/>
    <w:rsid w:val="00BA5B1A"/>
    <w:rsid w:val="00BA7163"/>
    <w:rsid w:val="00BB2298"/>
    <w:rsid w:val="00BB25A4"/>
    <w:rsid w:val="00BB39C6"/>
    <w:rsid w:val="00BB3C3F"/>
    <w:rsid w:val="00BB41EF"/>
    <w:rsid w:val="00BC13AF"/>
    <w:rsid w:val="00BC28CE"/>
    <w:rsid w:val="00BC35B2"/>
    <w:rsid w:val="00BC384B"/>
    <w:rsid w:val="00BC5E52"/>
    <w:rsid w:val="00BC6AD7"/>
    <w:rsid w:val="00BD3C4A"/>
    <w:rsid w:val="00BD4E86"/>
    <w:rsid w:val="00BE0DF8"/>
    <w:rsid w:val="00BE2C09"/>
    <w:rsid w:val="00BE3C3B"/>
    <w:rsid w:val="00BE4592"/>
    <w:rsid w:val="00BE6041"/>
    <w:rsid w:val="00BE7DF6"/>
    <w:rsid w:val="00BF257D"/>
    <w:rsid w:val="00C000C7"/>
    <w:rsid w:val="00C01EC4"/>
    <w:rsid w:val="00C023EB"/>
    <w:rsid w:val="00C03B79"/>
    <w:rsid w:val="00C05C9B"/>
    <w:rsid w:val="00C14069"/>
    <w:rsid w:val="00C16DE2"/>
    <w:rsid w:val="00C21FA3"/>
    <w:rsid w:val="00C222E6"/>
    <w:rsid w:val="00C23280"/>
    <w:rsid w:val="00C25579"/>
    <w:rsid w:val="00C25F99"/>
    <w:rsid w:val="00C26BC3"/>
    <w:rsid w:val="00C42660"/>
    <w:rsid w:val="00C44C6A"/>
    <w:rsid w:val="00C45490"/>
    <w:rsid w:val="00C460DB"/>
    <w:rsid w:val="00C46B69"/>
    <w:rsid w:val="00C545D1"/>
    <w:rsid w:val="00C54811"/>
    <w:rsid w:val="00C55E19"/>
    <w:rsid w:val="00C635BE"/>
    <w:rsid w:val="00C63E3E"/>
    <w:rsid w:val="00C643BF"/>
    <w:rsid w:val="00C7056E"/>
    <w:rsid w:val="00C75619"/>
    <w:rsid w:val="00C7561A"/>
    <w:rsid w:val="00C75FC5"/>
    <w:rsid w:val="00C772EE"/>
    <w:rsid w:val="00C812CC"/>
    <w:rsid w:val="00C81BE9"/>
    <w:rsid w:val="00C83370"/>
    <w:rsid w:val="00C85735"/>
    <w:rsid w:val="00C92887"/>
    <w:rsid w:val="00C96170"/>
    <w:rsid w:val="00C9688B"/>
    <w:rsid w:val="00CA0AE6"/>
    <w:rsid w:val="00CB2087"/>
    <w:rsid w:val="00CB2D13"/>
    <w:rsid w:val="00CB3127"/>
    <w:rsid w:val="00CB37AD"/>
    <w:rsid w:val="00CB5C3A"/>
    <w:rsid w:val="00CB7E41"/>
    <w:rsid w:val="00CC41E0"/>
    <w:rsid w:val="00CC650B"/>
    <w:rsid w:val="00CC791E"/>
    <w:rsid w:val="00CD3203"/>
    <w:rsid w:val="00CD536F"/>
    <w:rsid w:val="00CE00AA"/>
    <w:rsid w:val="00CE0534"/>
    <w:rsid w:val="00CE6CD3"/>
    <w:rsid w:val="00CE710A"/>
    <w:rsid w:val="00CF1227"/>
    <w:rsid w:val="00CF2E0A"/>
    <w:rsid w:val="00CF3099"/>
    <w:rsid w:val="00CF51DC"/>
    <w:rsid w:val="00CF5511"/>
    <w:rsid w:val="00CF5CD4"/>
    <w:rsid w:val="00CF68C6"/>
    <w:rsid w:val="00D0180D"/>
    <w:rsid w:val="00D04AE3"/>
    <w:rsid w:val="00D04E3F"/>
    <w:rsid w:val="00D076B3"/>
    <w:rsid w:val="00D11C5B"/>
    <w:rsid w:val="00D15B15"/>
    <w:rsid w:val="00D1698C"/>
    <w:rsid w:val="00D23040"/>
    <w:rsid w:val="00D2328D"/>
    <w:rsid w:val="00D30FF7"/>
    <w:rsid w:val="00D339CB"/>
    <w:rsid w:val="00D34055"/>
    <w:rsid w:val="00D3465A"/>
    <w:rsid w:val="00D34CA0"/>
    <w:rsid w:val="00D3634D"/>
    <w:rsid w:val="00D407D1"/>
    <w:rsid w:val="00D411DF"/>
    <w:rsid w:val="00D436E8"/>
    <w:rsid w:val="00D4418F"/>
    <w:rsid w:val="00D45A0D"/>
    <w:rsid w:val="00D5009A"/>
    <w:rsid w:val="00D549AB"/>
    <w:rsid w:val="00D5501A"/>
    <w:rsid w:val="00D556C5"/>
    <w:rsid w:val="00D55B30"/>
    <w:rsid w:val="00D6076F"/>
    <w:rsid w:val="00D639DE"/>
    <w:rsid w:val="00D6748A"/>
    <w:rsid w:val="00D71127"/>
    <w:rsid w:val="00D728C7"/>
    <w:rsid w:val="00D74659"/>
    <w:rsid w:val="00D7520C"/>
    <w:rsid w:val="00D801E4"/>
    <w:rsid w:val="00D81DC1"/>
    <w:rsid w:val="00D825C5"/>
    <w:rsid w:val="00D82811"/>
    <w:rsid w:val="00D90B76"/>
    <w:rsid w:val="00D90C24"/>
    <w:rsid w:val="00D94558"/>
    <w:rsid w:val="00D954E3"/>
    <w:rsid w:val="00D95833"/>
    <w:rsid w:val="00D965A9"/>
    <w:rsid w:val="00D97455"/>
    <w:rsid w:val="00DA2FD9"/>
    <w:rsid w:val="00DA421D"/>
    <w:rsid w:val="00DA43CA"/>
    <w:rsid w:val="00DA5F23"/>
    <w:rsid w:val="00DB2053"/>
    <w:rsid w:val="00DC273B"/>
    <w:rsid w:val="00DC74D0"/>
    <w:rsid w:val="00DD22E2"/>
    <w:rsid w:val="00DD5F95"/>
    <w:rsid w:val="00DD7C55"/>
    <w:rsid w:val="00DE0220"/>
    <w:rsid w:val="00DE6A0A"/>
    <w:rsid w:val="00DF286F"/>
    <w:rsid w:val="00DF4009"/>
    <w:rsid w:val="00DF526D"/>
    <w:rsid w:val="00DF6EFD"/>
    <w:rsid w:val="00DF7366"/>
    <w:rsid w:val="00E008BB"/>
    <w:rsid w:val="00E00B2F"/>
    <w:rsid w:val="00E02944"/>
    <w:rsid w:val="00E03096"/>
    <w:rsid w:val="00E031DD"/>
    <w:rsid w:val="00E05313"/>
    <w:rsid w:val="00E06720"/>
    <w:rsid w:val="00E10D7B"/>
    <w:rsid w:val="00E1189E"/>
    <w:rsid w:val="00E11B23"/>
    <w:rsid w:val="00E12411"/>
    <w:rsid w:val="00E12C8B"/>
    <w:rsid w:val="00E12CB0"/>
    <w:rsid w:val="00E15D28"/>
    <w:rsid w:val="00E16215"/>
    <w:rsid w:val="00E1729C"/>
    <w:rsid w:val="00E207DC"/>
    <w:rsid w:val="00E20DCC"/>
    <w:rsid w:val="00E21188"/>
    <w:rsid w:val="00E23983"/>
    <w:rsid w:val="00E32646"/>
    <w:rsid w:val="00E344C8"/>
    <w:rsid w:val="00E3602A"/>
    <w:rsid w:val="00E37093"/>
    <w:rsid w:val="00E37330"/>
    <w:rsid w:val="00E40DF6"/>
    <w:rsid w:val="00E44C5F"/>
    <w:rsid w:val="00E513EA"/>
    <w:rsid w:val="00E51A54"/>
    <w:rsid w:val="00E54F15"/>
    <w:rsid w:val="00E57157"/>
    <w:rsid w:val="00E6097A"/>
    <w:rsid w:val="00E60F20"/>
    <w:rsid w:val="00E60FBA"/>
    <w:rsid w:val="00E62070"/>
    <w:rsid w:val="00E628F4"/>
    <w:rsid w:val="00E62AA3"/>
    <w:rsid w:val="00E63C72"/>
    <w:rsid w:val="00E662D0"/>
    <w:rsid w:val="00E751D7"/>
    <w:rsid w:val="00E7580D"/>
    <w:rsid w:val="00E769C8"/>
    <w:rsid w:val="00E8129C"/>
    <w:rsid w:val="00E8591E"/>
    <w:rsid w:val="00E93719"/>
    <w:rsid w:val="00EA20E3"/>
    <w:rsid w:val="00EA41C5"/>
    <w:rsid w:val="00EA47D3"/>
    <w:rsid w:val="00EA4CC3"/>
    <w:rsid w:val="00EA6159"/>
    <w:rsid w:val="00EA71CE"/>
    <w:rsid w:val="00EA7B0F"/>
    <w:rsid w:val="00EB0F14"/>
    <w:rsid w:val="00EB203D"/>
    <w:rsid w:val="00EB41D8"/>
    <w:rsid w:val="00EB5779"/>
    <w:rsid w:val="00EC251D"/>
    <w:rsid w:val="00ED106D"/>
    <w:rsid w:val="00ED2831"/>
    <w:rsid w:val="00ED2AC7"/>
    <w:rsid w:val="00ED50CD"/>
    <w:rsid w:val="00ED540E"/>
    <w:rsid w:val="00ED5F3F"/>
    <w:rsid w:val="00ED7CC9"/>
    <w:rsid w:val="00EE437D"/>
    <w:rsid w:val="00EE5B2C"/>
    <w:rsid w:val="00EE5E65"/>
    <w:rsid w:val="00EF0752"/>
    <w:rsid w:val="00EF234A"/>
    <w:rsid w:val="00EF3199"/>
    <w:rsid w:val="00EF71B6"/>
    <w:rsid w:val="00F02812"/>
    <w:rsid w:val="00F02F4C"/>
    <w:rsid w:val="00F03148"/>
    <w:rsid w:val="00F03E40"/>
    <w:rsid w:val="00F0633F"/>
    <w:rsid w:val="00F065CF"/>
    <w:rsid w:val="00F1092E"/>
    <w:rsid w:val="00F14316"/>
    <w:rsid w:val="00F147CB"/>
    <w:rsid w:val="00F14CD4"/>
    <w:rsid w:val="00F15503"/>
    <w:rsid w:val="00F15B4C"/>
    <w:rsid w:val="00F164D2"/>
    <w:rsid w:val="00F16F85"/>
    <w:rsid w:val="00F1721E"/>
    <w:rsid w:val="00F2242B"/>
    <w:rsid w:val="00F2379D"/>
    <w:rsid w:val="00F24BC4"/>
    <w:rsid w:val="00F26430"/>
    <w:rsid w:val="00F274E8"/>
    <w:rsid w:val="00F31FFB"/>
    <w:rsid w:val="00F33890"/>
    <w:rsid w:val="00F41611"/>
    <w:rsid w:val="00F537F0"/>
    <w:rsid w:val="00F53DC2"/>
    <w:rsid w:val="00F5668A"/>
    <w:rsid w:val="00F569A6"/>
    <w:rsid w:val="00F60572"/>
    <w:rsid w:val="00F61147"/>
    <w:rsid w:val="00F6421C"/>
    <w:rsid w:val="00F649CE"/>
    <w:rsid w:val="00F673B1"/>
    <w:rsid w:val="00F73D9D"/>
    <w:rsid w:val="00F7613F"/>
    <w:rsid w:val="00F80DD4"/>
    <w:rsid w:val="00F81179"/>
    <w:rsid w:val="00F823C9"/>
    <w:rsid w:val="00F8331A"/>
    <w:rsid w:val="00F86C9A"/>
    <w:rsid w:val="00F92AFC"/>
    <w:rsid w:val="00F966C2"/>
    <w:rsid w:val="00FA1445"/>
    <w:rsid w:val="00FA18D2"/>
    <w:rsid w:val="00FA69F1"/>
    <w:rsid w:val="00FB3043"/>
    <w:rsid w:val="00FB3CA8"/>
    <w:rsid w:val="00FB5349"/>
    <w:rsid w:val="00FB70DE"/>
    <w:rsid w:val="00FB713C"/>
    <w:rsid w:val="00FB75EB"/>
    <w:rsid w:val="00FC21E1"/>
    <w:rsid w:val="00FC2498"/>
    <w:rsid w:val="00FC5A3C"/>
    <w:rsid w:val="00FC7357"/>
    <w:rsid w:val="00FD2865"/>
    <w:rsid w:val="00FD705F"/>
    <w:rsid w:val="00FD7A63"/>
    <w:rsid w:val="00FD7E0E"/>
    <w:rsid w:val="00FE212C"/>
    <w:rsid w:val="00FE3B78"/>
    <w:rsid w:val="00FE555F"/>
    <w:rsid w:val="00FE5F2F"/>
    <w:rsid w:val="00FF322B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90648-2B6B-477D-B6E2-3DFE019F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F61147"/>
    <w:pPr>
      <w:keepNext/>
      <w:ind w:left="43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8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114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61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11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0E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26F07"/>
    <w:rPr>
      <w:color w:val="42424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A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A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A49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8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7B5C-7739-4FED-A2FA-800E4B2F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8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mcapan</dc:creator>
  <cp:lastModifiedBy>Silva Mirosavljević</cp:lastModifiedBy>
  <cp:revision>65</cp:revision>
  <cp:lastPrinted>2022-01-27T14:13:00Z</cp:lastPrinted>
  <dcterms:created xsi:type="dcterms:W3CDTF">2023-01-26T14:47:00Z</dcterms:created>
  <dcterms:modified xsi:type="dcterms:W3CDTF">2023-02-03T11:39:00Z</dcterms:modified>
</cp:coreProperties>
</file>