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0D3D"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p>
    <w:p w14:paraId="214A8A92"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p>
    <w:p w14:paraId="43B2B95D"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p>
    <w:p w14:paraId="3A7DF2B6"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p>
    <w:p w14:paraId="0CD5065D"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p>
    <w:p w14:paraId="6361D3E2"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p>
    <w:p w14:paraId="3B0A647C" w14:textId="77777777" w:rsidR="00FA3151" w:rsidRPr="00FA3151" w:rsidRDefault="00FA3151" w:rsidP="00FA3151">
      <w:pPr>
        <w:widowControl w:val="0"/>
        <w:spacing w:after="0" w:line="220" w:lineRule="exact"/>
        <w:jc w:val="center"/>
        <w:outlineLvl w:val="0"/>
        <w:rPr>
          <w:rFonts w:ascii="Times New Roman" w:eastAsia="Calibri" w:hAnsi="Times New Roman" w:cs="Times New Roman"/>
          <w:b/>
          <w:bCs/>
          <w:sz w:val="24"/>
          <w:szCs w:val="24"/>
        </w:rPr>
      </w:pPr>
      <w:r w:rsidRPr="00FA3151">
        <w:rPr>
          <w:rFonts w:ascii="Times New Roman" w:eastAsia="Calibri" w:hAnsi="Times New Roman" w:cs="Times New Roman"/>
          <w:b/>
          <w:bCs/>
          <w:sz w:val="24"/>
          <w:szCs w:val="24"/>
          <w:highlight w:val="yellow"/>
        </w:rPr>
        <w:t>Prva (1.) izmjena Poziva</w:t>
      </w:r>
    </w:p>
    <w:p w14:paraId="18BDCBA8"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p>
    <w:p w14:paraId="443AA101"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p>
    <w:p w14:paraId="183F8D51" w14:textId="77777777" w:rsidR="00FA3151" w:rsidRPr="00FA3151" w:rsidRDefault="00FA3151" w:rsidP="00FA3151">
      <w:pPr>
        <w:spacing w:after="0" w:line="240" w:lineRule="auto"/>
        <w:rPr>
          <w:rFonts w:ascii="Times New Roman" w:eastAsia="Times New Roman" w:hAnsi="Times New Roman" w:cs="Times New Roman"/>
          <w:b/>
          <w:sz w:val="24"/>
          <w:szCs w:val="24"/>
        </w:rPr>
      </w:pPr>
    </w:p>
    <w:p w14:paraId="591D09C2"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r w:rsidRPr="00FA3151">
        <w:rPr>
          <w:rFonts w:ascii="Times New Roman" w:eastAsia="Times New Roman" w:hAnsi="Times New Roman" w:cs="Times New Roman"/>
          <w:b/>
          <w:sz w:val="24"/>
          <w:szCs w:val="24"/>
        </w:rPr>
        <w:t>UGOVOR O DODJELI BESPOVRATNIH FINANCIJSKIH SREDSTAVA</w:t>
      </w:r>
    </w:p>
    <w:p w14:paraId="4A0C2D32"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r w:rsidRPr="00FA3151">
        <w:rPr>
          <w:rFonts w:ascii="Times New Roman" w:eastAsia="Times New Roman" w:hAnsi="Times New Roman" w:cs="Times New Roman"/>
          <w:b/>
          <w:sz w:val="24"/>
          <w:szCs w:val="24"/>
        </w:rPr>
        <w:t xml:space="preserve">ZA OPERACIJE KOJE SE FINANCIRAJU </w:t>
      </w:r>
    </w:p>
    <w:p w14:paraId="502EA936"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r w:rsidRPr="00FA3151">
        <w:rPr>
          <w:rFonts w:ascii="Times New Roman" w:eastAsia="Times New Roman" w:hAnsi="Times New Roman" w:cs="Times New Roman"/>
          <w:b/>
          <w:sz w:val="24"/>
          <w:szCs w:val="24"/>
        </w:rPr>
        <w:t>IZ FONDA SOLIDARNOSTI EUROPSKE UNIJE</w:t>
      </w:r>
    </w:p>
    <w:p w14:paraId="291E527D" w14:textId="77777777" w:rsidR="00FA3151" w:rsidRPr="00FA3151" w:rsidRDefault="00FA3151" w:rsidP="00FA3151">
      <w:pPr>
        <w:spacing w:after="0" w:line="240" w:lineRule="auto"/>
        <w:jc w:val="center"/>
        <w:rPr>
          <w:rFonts w:ascii="Times New Roman" w:eastAsia="Times New Roman" w:hAnsi="Times New Roman" w:cs="Times New Roman"/>
          <w:sz w:val="24"/>
          <w:szCs w:val="24"/>
        </w:rPr>
      </w:pPr>
    </w:p>
    <w:p w14:paraId="0B4F3F09"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p>
    <w:p w14:paraId="7A31E387"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p>
    <w:p w14:paraId="66F2B923" w14:textId="77777777" w:rsidR="00FA3151" w:rsidRPr="00FA3151" w:rsidRDefault="00FA3151" w:rsidP="00FA3151">
      <w:pPr>
        <w:spacing w:after="0" w:line="240" w:lineRule="auto"/>
        <w:jc w:val="center"/>
        <w:rPr>
          <w:rFonts w:ascii="Times New Roman" w:eastAsia="Times New Roman" w:hAnsi="Times New Roman" w:cs="Times New Roman"/>
          <w:b/>
          <w:sz w:val="24"/>
          <w:szCs w:val="24"/>
        </w:rPr>
      </w:pPr>
      <w:r w:rsidRPr="00FA3151">
        <w:rPr>
          <w:rFonts w:ascii="Times New Roman" w:eastAsia="Times New Roman" w:hAnsi="Times New Roman" w:cs="Times New Roman"/>
          <w:b/>
          <w:sz w:val="24"/>
          <w:szCs w:val="24"/>
        </w:rPr>
        <w:t>za operaciju</w:t>
      </w:r>
    </w:p>
    <w:p w14:paraId="08B560BD" w14:textId="77777777" w:rsidR="00FA3151" w:rsidRPr="00FA3151" w:rsidRDefault="00FA3151" w:rsidP="00FA3151">
      <w:pPr>
        <w:tabs>
          <w:tab w:val="left" w:pos="-1701"/>
          <w:tab w:val="left" w:pos="-1560"/>
          <w:tab w:val="left" w:pos="5970"/>
          <w:tab w:val="right" w:pos="9072"/>
        </w:tabs>
        <w:spacing w:after="0" w:line="240" w:lineRule="auto"/>
        <w:jc w:val="center"/>
        <w:rPr>
          <w:rFonts w:ascii="Times New Roman" w:eastAsia="Times New Roman" w:hAnsi="Times New Roman" w:cs="Times New Roman"/>
          <w:b/>
          <w:sz w:val="24"/>
          <w:szCs w:val="24"/>
        </w:rPr>
      </w:pPr>
    </w:p>
    <w:p w14:paraId="314CF127" w14:textId="77777777" w:rsidR="00FA3151" w:rsidRPr="00FA3151" w:rsidRDefault="00FA3151" w:rsidP="00FA3151">
      <w:pPr>
        <w:tabs>
          <w:tab w:val="left" w:pos="-1701"/>
          <w:tab w:val="left" w:pos="-1560"/>
          <w:tab w:val="left" w:pos="5970"/>
          <w:tab w:val="right" w:pos="9072"/>
        </w:tabs>
        <w:spacing w:after="0" w:line="240" w:lineRule="auto"/>
        <w:jc w:val="center"/>
        <w:rPr>
          <w:rFonts w:ascii="Times New Roman" w:eastAsia="Times New Roman" w:hAnsi="Times New Roman" w:cs="Times New Roman"/>
          <w:b/>
          <w:sz w:val="24"/>
          <w:szCs w:val="24"/>
        </w:rPr>
      </w:pPr>
    </w:p>
    <w:p w14:paraId="6FCC2B60"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i/>
          <w:sz w:val="24"/>
          <w:szCs w:val="24"/>
        </w:rPr>
      </w:pPr>
      <w:r w:rsidRPr="00FA3151">
        <w:rPr>
          <w:rFonts w:ascii="Times New Roman" w:eastAsia="Times New Roman" w:hAnsi="Times New Roman" w:cs="Times New Roman"/>
          <w:b/>
          <w:sz w:val="24"/>
          <w:szCs w:val="24"/>
        </w:rPr>
        <w:t>&lt;</w:t>
      </w:r>
      <w:r w:rsidRPr="00FA3151">
        <w:rPr>
          <w:rFonts w:ascii="Times New Roman" w:eastAsia="Times New Roman" w:hAnsi="Times New Roman" w:cs="Times New Roman"/>
          <w:b/>
          <w:i/>
          <w:sz w:val="24"/>
          <w:szCs w:val="24"/>
        </w:rPr>
        <w:t>Naziv operacije&gt;</w:t>
      </w:r>
    </w:p>
    <w:p w14:paraId="06A8E349"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i/>
          <w:sz w:val="24"/>
          <w:szCs w:val="24"/>
        </w:rPr>
      </w:pPr>
    </w:p>
    <w:p w14:paraId="18242018"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i/>
          <w:sz w:val="24"/>
          <w:szCs w:val="24"/>
        </w:rPr>
      </w:pPr>
      <w:r w:rsidRPr="00FA3151">
        <w:rPr>
          <w:rFonts w:ascii="Times New Roman" w:eastAsia="Times New Roman" w:hAnsi="Times New Roman" w:cs="Times New Roman"/>
          <w:b/>
          <w:sz w:val="24"/>
          <w:szCs w:val="24"/>
        </w:rPr>
        <w:t xml:space="preserve">referentni broj Ugovora o dodjeli bespovratnih financijskih sredstava: </w:t>
      </w:r>
      <w:r w:rsidRPr="00FA3151">
        <w:rPr>
          <w:rFonts w:ascii="Times New Roman" w:eastAsia="Times New Roman" w:hAnsi="Times New Roman" w:cs="Times New Roman"/>
          <w:b/>
          <w:i/>
          <w:sz w:val="24"/>
          <w:szCs w:val="24"/>
        </w:rPr>
        <w:t>&lt;upisati&gt;</w:t>
      </w:r>
    </w:p>
    <w:p w14:paraId="3CEFF184"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i/>
          <w:sz w:val="24"/>
          <w:szCs w:val="24"/>
        </w:rPr>
      </w:pPr>
    </w:p>
    <w:p w14:paraId="5C1122A7"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i/>
          <w:sz w:val="24"/>
          <w:szCs w:val="24"/>
        </w:rPr>
      </w:pPr>
    </w:p>
    <w:p w14:paraId="186B485F"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sz w:val="24"/>
          <w:szCs w:val="24"/>
        </w:rPr>
      </w:pPr>
    </w:p>
    <w:p w14:paraId="66C426F9"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sz w:val="24"/>
          <w:szCs w:val="24"/>
        </w:rPr>
      </w:pPr>
    </w:p>
    <w:p w14:paraId="0E17FCB8"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sz w:val="24"/>
          <w:szCs w:val="24"/>
        </w:rPr>
      </w:pPr>
    </w:p>
    <w:p w14:paraId="4946E5A7"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sz w:val="24"/>
          <w:szCs w:val="24"/>
        </w:rPr>
      </w:pPr>
    </w:p>
    <w:p w14:paraId="3FE50418"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sz w:val="24"/>
          <w:szCs w:val="24"/>
        </w:rPr>
      </w:pPr>
    </w:p>
    <w:p w14:paraId="4FDAF10C"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sz w:val="24"/>
          <w:szCs w:val="24"/>
        </w:rPr>
      </w:pPr>
    </w:p>
    <w:p w14:paraId="1D5E3B85"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sz w:val="24"/>
          <w:szCs w:val="24"/>
        </w:rPr>
      </w:pPr>
    </w:p>
    <w:p w14:paraId="431E0ED8"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sz w:val="24"/>
          <w:szCs w:val="24"/>
        </w:rPr>
      </w:pPr>
    </w:p>
    <w:p w14:paraId="732C50C7"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sz w:val="24"/>
          <w:szCs w:val="24"/>
        </w:rPr>
      </w:pPr>
    </w:p>
    <w:p w14:paraId="0623DA1B"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sz w:val="24"/>
          <w:szCs w:val="24"/>
        </w:rPr>
      </w:pPr>
    </w:p>
    <w:p w14:paraId="2873025F" w14:textId="77777777" w:rsidR="00FA3151" w:rsidRPr="00FA3151" w:rsidRDefault="00FA3151" w:rsidP="00FA3151">
      <w:pPr>
        <w:tabs>
          <w:tab w:val="left" w:pos="1257"/>
        </w:tabs>
        <w:spacing w:after="200" w:line="276" w:lineRule="auto"/>
        <w:jc w:val="center"/>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Poziv na dodjelu bespovratnih financijskih sredstava</w:t>
      </w:r>
    </w:p>
    <w:p w14:paraId="5F2EB1B4" w14:textId="77777777" w:rsidR="00FA3151" w:rsidRPr="00FA3151" w:rsidRDefault="00FA3151" w:rsidP="00FA3151">
      <w:pPr>
        <w:autoSpaceDE w:val="0"/>
        <w:autoSpaceDN w:val="0"/>
        <w:adjustRightInd w:val="0"/>
        <w:spacing w:after="0" w:line="240" w:lineRule="auto"/>
        <w:jc w:val="center"/>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Pružanje privremenog smještaja radi pokrivanja potreba stanovništva pogođenog potresom 22. ožujka 2020. godine na području Grada Zagreba, Krapinsko-zagorske županije i Zagrebačke županije </w:t>
      </w:r>
    </w:p>
    <w:p w14:paraId="1D643344" w14:textId="77777777" w:rsidR="00FA3151" w:rsidRPr="00FA3151" w:rsidRDefault="00FA3151" w:rsidP="00FA3151">
      <w:pPr>
        <w:autoSpaceDE w:val="0"/>
        <w:autoSpaceDN w:val="0"/>
        <w:adjustRightInd w:val="0"/>
        <w:spacing w:after="0" w:line="240" w:lineRule="auto"/>
        <w:jc w:val="center"/>
        <w:rPr>
          <w:rFonts w:ascii="Times New Roman" w:eastAsia="Times New Roman" w:hAnsi="Times New Roman" w:cs="Times New Roman"/>
          <w:sz w:val="24"/>
          <w:szCs w:val="24"/>
        </w:rPr>
      </w:pPr>
    </w:p>
    <w:p w14:paraId="280F6842" w14:textId="77777777" w:rsidR="00FA3151" w:rsidRPr="00FA3151" w:rsidRDefault="00FA3151" w:rsidP="00FA3151">
      <w:pPr>
        <w:autoSpaceDE w:val="0"/>
        <w:autoSpaceDN w:val="0"/>
        <w:adjustRightInd w:val="0"/>
        <w:spacing w:after="0" w:line="240" w:lineRule="auto"/>
        <w:jc w:val="center"/>
        <w:rPr>
          <w:rFonts w:ascii="Times New Roman" w:eastAsia="Times New Roman" w:hAnsi="Times New Roman" w:cs="Times New Roman"/>
          <w:sz w:val="24"/>
          <w:szCs w:val="24"/>
        </w:rPr>
      </w:pPr>
    </w:p>
    <w:p w14:paraId="721F7A6C" w14:textId="77777777" w:rsidR="00FA3151" w:rsidRPr="00FA3151" w:rsidRDefault="00FA3151" w:rsidP="00FA3151">
      <w:pPr>
        <w:autoSpaceDE w:val="0"/>
        <w:autoSpaceDN w:val="0"/>
        <w:adjustRightInd w:val="0"/>
        <w:spacing w:after="0" w:line="240" w:lineRule="auto"/>
        <w:jc w:val="center"/>
        <w:rPr>
          <w:rFonts w:ascii="Times New Roman" w:eastAsia="Times New Roman" w:hAnsi="Times New Roman" w:cs="Times New Roman"/>
          <w:sz w:val="24"/>
          <w:szCs w:val="24"/>
        </w:rPr>
      </w:pPr>
    </w:p>
    <w:p w14:paraId="3CA88841" w14:textId="77777777" w:rsidR="00FA3151" w:rsidRPr="00FA3151" w:rsidRDefault="00FA3151" w:rsidP="00FA3151">
      <w:pPr>
        <w:autoSpaceDE w:val="0"/>
        <w:autoSpaceDN w:val="0"/>
        <w:adjustRightInd w:val="0"/>
        <w:spacing w:after="0" w:line="240" w:lineRule="auto"/>
        <w:jc w:val="center"/>
        <w:rPr>
          <w:rFonts w:ascii="Times New Roman" w:eastAsia="Times New Roman" w:hAnsi="Times New Roman" w:cs="Times New Roman"/>
          <w:sz w:val="24"/>
          <w:szCs w:val="24"/>
        </w:rPr>
      </w:pPr>
    </w:p>
    <w:p w14:paraId="28800BBE" w14:textId="77777777" w:rsidR="00FA3151" w:rsidRPr="00FA3151" w:rsidRDefault="00FA3151" w:rsidP="00FA3151">
      <w:pPr>
        <w:autoSpaceDE w:val="0"/>
        <w:autoSpaceDN w:val="0"/>
        <w:adjustRightInd w:val="0"/>
        <w:spacing w:after="0" w:line="240" w:lineRule="auto"/>
        <w:jc w:val="center"/>
        <w:rPr>
          <w:rFonts w:ascii="Times New Roman" w:eastAsia="Times New Roman" w:hAnsi="Times New Roman" w:cs="Times New Roman"/>
          <w:sz w:val="24"/>
          <w:szCs w:val="24"/>
        </w:rPr>
      </w:pPr>
    </w:p>
    <w:p w14:paraId="534F419A" w14:textId="77777777" w:rsidR="00FA3151" w:rsidRPr="00FA3151" w:rsidRDefault="00FA3151" w:rsidP="00FA3151">
      <w:pPr>
        <w:autoSpaceDE w:val="0"/>
        <w:autoSpaceDN w:val="0"/>
        <w:adjustRightInd w:val="0"/>
        <w:spacing w:after="0" w:line="240" w:lineRule="auto"/>
        <w:jc w:val="center"/>
        <w:rPr>
          <w:rFonts w:ascii="Times New Roman" w:eastAsia="Times New Roman" w:hAnsi="Times New Roman" w:cs="Times New Roman"/>
          <w:sz w:val="24"/>
          <w:szCs w:val="24"/>
        </w:rPr>
      </w:pPr>
    </w:p>
    <w:p w14:paraId="22949906" w14:textId="77777777" w:rsidR="00FA3151" w:rsidRPr="00FA3151" w:rsidRDefault="00FA3151" w:rsidP="00FA3151">
      <w:pPr>
        <w:autoSpaceDE w:val="0"/>
        <w:autoSpaceDN w:val="0"/>
        <w:adjustRightInd w:val="0"/>
        <w:spacing w:after="0" w:line="240" w:lineRule="auto"/>
        <w:jc w:val="center"/>
        <w:rPr>
          <w:rFonts w:ascii="Times New Roman" w:eastAsia="Times New Roman" w:hAnsi="Times New Roman" w:cs="Times New Roman"/>
          <w:sz w:val="24"/>
          <w:szCs w:val="24"/>
        </w:rPr>
      </w:pPr>
    </w:p>
    <w:p w14:paraId="39BF3A1F" w14:textId="77777777" w:rsidR="00FA3151" w:rsidRPr="00FA3151" w:rsidRDefault="00FA3151" w:rsidP="00FA3151">
      <w:pPr>
        <w:autoSpaceDE w:val="0"/>
        <w:autoSpaceDN w:val="0"/>
        <w:adjustRightInd w:val="0"/>
        <w:spacing w:after="0" w:line="240" w:lineRule="auto"/>
        <w:jc w:val="center"/>
        <w:rPr>
          <w:rFonts w:ascii="Times New Roman" w:eastAsia="Times New Roman" w:hAnsi="Times New Roman" w:cs="Times New Roman"/>
          <w:sz w:val="24"/>
          <w:szCs w:val="24"/>
        </w:rPr>
      </w:pPr>
    </w:p>
    <w:p w14:paraId="782580EA" w14:textId="77777777" w:rsidR="00FA3151" w:rsidRPr="00FA3151" w:rsidRDefault="00FA3151" w:rsidP="00FA3151">
      <w:pPr>
        <w:autoSpaceDE w:val="0"/>
        <w:autoSpaceDN w:val="0"/>
        <w:adjustRightInd w:val="0"/>
        <w:spacing w:after="0" w:line="240" w:lineRule="auto"/>
        <w:jc w:val="center"/>
        <w:rPr>
          <w:rFonts w:ascii="Times New Roman" w:eastAsia="Times New Roman" w:hAnsi="Times New Roman" w:cs="Times New Roman"/>
          <w:b/>
        </w:rPr>
      </w:pPr>
    </w:p>
    <w:p w14:paraId="51CF800D" w14:textId="77777777" w:rsidR="00FA3151" w:rsidRPr="00FA3151" w:rsidRDefault="00FA3151" w:rsidP="00FA3151">
      <w:pPr>
        <w:spacing w:after="0" w:line="240" w:lineRule="auto"/>
        <w:ind w:left="720"/>
        <w:jc w:val="center"/>
        <w:rPr>
          <w:rFonts w:ascii="Times New Roman" w:eastAsia="Times New Roman" w:hAnsi="Times New Roman" w:cs="Times New Roman"/>
          <w:b/>
          <w:sz w:val="24"/>
          <w:szCs w:val="24"/>
        </w:rPr>
      </w:pPr>
      <w:r w:rsidRPr="00FA3151">
        <w:rPr>
          <w:rFonts w:ascii="Times New Roman" w:eastAsia="Times New Roman" w:hAnsi="Times New Roman" w:cs="Times New Roman"/>
          <w:b/>
          <w:sz w:val="24"/>
          <w:szCs w:val="24"/>
        </w:rPr>
        <w:lastRenderedPageBreak/>
        <w:t xml:space="preserve">UGOVOR O DODJELI BESPOVRATNIH FINANCIJSKIH SREDSTAVA ZA OPERACIJE KOJI SE FINANCIRAJU IZ FONDA SOLIDARNOSTI EUROPSKE UNIJE </w:t>
      </w:r>
    </w:p>
    <w:p w14:paraId="2070540F" w14:textId="77777777" w:rsidR="00FA3151" w:rsidRPr="00FA3151" w:rsidRDefault="00FA3151" w:rsidP="00FA3151">
      <w:pPr>
        <w:spacing w:after="0" w:line="240" w:lineRule="auto"/>
        <w:ind w:left="720"/>
        <w:jc w:val="center"/>
        <w:rPr>
          <w:rFonts w:ascii="Times New Roman" w:eastAsia="Times New Roman" w:hAnsi="Times New Roman" w:cs="Times New Roman"/>
          <w:sz w:val="24"/>
          <w:szCs w:val="24"/>
        </w:rPr>
      </w:pPr>
    </w:p>
    <w:p w14:paraId="1055750E"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("Ugovor o</w:t>
      </w:r>
      <w:r w:rsidRPr="00FA3151">
        <w:rPr>
          <w:rFonts w:ascii="Times New Roman" w:eastAsia="Times New Roman" w:hAnsi="Times New Roman" w:cs="Times New Roman"/>
          <w:b/>
          <w:sz w:val="24"/>
          <w:szCs w:val="24"/>
        </w:rPr>
        <w:t xml:space="preserve"> </w:t>
      </w:r>
      <w:r w:rsidRPr="00FA3151">
        <w:rPr>
          <w:rFonts w:ascii="Times New Roman" w:eastAsia="Times New Roman" w:hAnsi="Times New Roman" w:cs="Times New Roman"/>
          <w:sz w:val="24"/>
          <w:szCs w:val="24"/>
        </w:rPr>
        <w:t>dodjeli bespovratnih financijskih sredstava", u nastavku teksta: Ugovor)</w:t>
      </w:r>
    </w:p>
    <w:p w14:paraId="39785701" w14:textId="77777777" w:rsidR="00FA3151" w:rsidRPr="00FA3151" w:rsidRDefault="00FA3151" w:rsidP="00FA3151">
      <w:pPr>
        <w:tabs>
          <w:tab w:val="left" w:pos="-1701"/>
          <w:tab w:val="left" w:pos="-1560"/>
          <w:tab w:val="left" w:pos="5970"/>
          <w:tab w:val="right" w:pos="9072"/>
        </w:tabs>
        <w:spacing w:after="0" w:line="240" w:lineRule="auto"/>
        <w:rPr>
          <w:rFonts w:ascii="Times New Roman" w:eastAsia="Times New Roman" w:hAnsi="Times New Roman" w:cs="Times New Roman"/>
          <w:b/>
          <w:sz w:val="24"/>
          <w:szCs w:val="24"/>
        </w:rPr>
      </w:pPr>
      <w:r w:rsidRPr="00FA3151">
        <w:rPr>
          <w:rFonts w:ascii="Times New Roman" w:eastAsia="Times New Roman" w:hAnsi="Times New Roman" w:cs="Times New Roman"/>
          <w:b/>
          <w:sz w:val="24"/>
          <w:szCs w:val="24"/>
        </w:rPr>
        <w:tab/>
      </w:r>
      <w:r w:rsidRPr="00FA3151">
        <w:rPr>
          <w:rFonts w:ascii="Times New Roman" w:eastAsia="Times New Roman" w:hAnsi="Times New Roman" w:cs="Times New Roman"/>
          <w:b/>
          <w:sz w:val="24"/>
          <w:szCs w:val="24"/>
        </w:rPr>
        <w:tab/>
      </w:r>
    </w:p>
    <w:p w14:paraId="58AE8EB0"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b/>
          <w:i/>
          <w:sz w:val="24"/>
          <w:szCs w:val="24"/>
        </w:rPr>
      </w:pPr>
      <w:r w:rsidRPr="00FA3151">
        <w:rPr>
          <w:rFonts w:ascii="Times New Roman" w:eastAsia="Times New Roman" w:hAnsi="Times New Roman" w:cs="Times New Roman"/>
          <w:b/>
          <w:sz w:val="24"/>
          <w:szCs w:val="24"/>
        </w:rPr>
        <w:t>&lt;</w:t>
      </w:r>
      <w:r w:rsidRPr="00FA3151">
        <w:rPr>
          <w:rFonts w:ascii="Times New Roman" w:eastAsia="Times New Roman" w:hAnsi="Times New Roman" w:cs="Times New Roman"/>
          <w:b/>
          <w:i/>
          <w:sz w:val="24"/>
          <w:szCs w:val="24"/>
        </w:rPr>
        <w:t>Naziv operacije&gt;</w:t>
      </w:r>
    </w:p>
    <w:p w14:paraId="3BA4E129" w14:textId="77777777" w:rsidR="00FA3151" w:rsidRPr="00FA3151" w:rsidRDefault="00FA3151" w:rsidP="00FA3151">
      <w:pPr>
        <w:tabs>
          <w:tab w:val="left" w:pos="-1701"/>
          <w:tab w:val="left" w:pos="-1560"/>
        </w:tabs>
        <w:spacing w:after="0" w:line="240" w:lineRule="auto"/>
        <w:jc w:val="center"/>
        <w:rPr>
          <w:rFonts w:ascii="Times New Roman" w:eastAsia="Times New Roman" w:hAnsi="Times New Roman" w:cs="Times New Roman"/>
          <w:sz w:val="24"/>
          <w:szCs w:val="24"/>
        </w:rPr>
      </w:pPr>
    </w:p>
    <w:p w14:paraId="3F5EB8F6" w14:textId="77777777" w:rsidR="00FA3151" w:rsidRPr="00FA3151" w:rsidRDefault="00FA3151" w:rsidP="00FA3151">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Tijelo odgovorno za provedbu financijskog doprinosa, (u nastavku teksta: TOPFD) &lt;puno ime/naziv, OIB, adresa&gt;</w:t>
      </w:r>
    </w:p>
    <w:p w14:paraId="2FEA91C1" w14:textId="77777777" w:rsidR="00FA3151" w:rsidRPr="00FA3151" w:rsidRDefault="00FA3151" w:rsidP="00FA3151">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ab/>
      </w:r>
      <w:r w:rsidRPr="00FA3151">
        <w:rPr>
          <w:rFonts w:ascii="Times New Roman" w:eastAsia="Times New Roman" w:hAnsi="Times New Roman" w:cs="Times New Roman"/>
          <w:sz w:val="24"/>
          <w:szCs w:val="24"/>
        </w:rPr>
        <w:tab/>
      </w:r>
      <w:r w:rsidRPr="00FA3151">
        <w:rPr>
          <w:rFonts w:ascii="Times New Roman" w:eastAsia="Times New Roman" w:hAnsi="Times New Roman" w:cs="Times New Roman"/>
          <w:sz w:val="24"/>
          <w:szCs w:val="24"/>
        </w:rPr>
        <w:tab/>
      </w:r>
      <w:r w:rsidRPr="00FA3151">
        <w:rPr>
          <w:rFonts w:ascii="Times New Roman" w:eastAsia="Times New Roman" w:hAnsi="Times New Roman" w:cs="Times New Roman"/>
          <w:sz w:val="24"/>
          <w:szCs w:val="24"/>
        </w:rPr>
        <w:tab/>
      </w:r>
      <w:r w:rsidRPr="00FA3151">
        <w:rPr>
          <w:rFonts w:ascii="Times New Roman" w:eastAsia="Times New Roman" w:hAnsi="Times New Roman" w:cs="Times New Roman"/>
          <w:sz w:val="24"/>
          <w:szCs w:val="24"/>
        </w:rPr>
        <w:tab/>
      </w:r>
      <w:r w:rsidRPr="00FA3151">
        <w:rPr>
          <w:rFonts w:ascii="Times New Roman" w:eastAsia="Times New Roman" w:hAnsi="Times New Roman" w:cs="Times New Roman"/>
          <w:sz w:val="24"/>
          <w:szCs w:val="24"/>
        </w:rPr>
        <w:tab/>
      </w:r>
    </w:p>
    <w:p w14:paraId="54E67187" w14:textId="77777777" w:rsidR="00FA3151" w:rsidRPr="00FA3151" w:rsidRDefault="00FA3151" w:rsidP="00FA3151">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s jedne strane, i</w:t>
      </w:r>
    </w:p>
    <w:p w14:paraId="279E2EC5" w14:textId="77777777" w:rsidR="00FA3151" w:rsidRPr="00FA3151" w:rsidRDefault="00FA3151" w:rsidP="00FA3151">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p>
    <w:p w14:paraId="7A751687" w14:textId="77777777" w:rsidR="00FA3151" w:rsidRPr="00FA3151" w:rsidRDefault="00FA3151" w:rsidP="00FA3151">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Korisnik bespovratnih sredstava Fonda solidarnosti Europske unije </w:t>
      </w:r>
    </w:p>
    <w:p w14:paraId="78EE2683" w14:textId="77777777" w:rsidR="00FA3151" w:rsidRPr="00FA3151" w:rsidRDefault="00FA3151" w:rsidP="00FA3151">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&lt;Puno službeno ime/naziv i adresa Korisnika&gt;</w:t>
      </w:r>
    </w:p>
    <w:p w14:paraId="634857F7"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&lt;Pravni oblik&gt;  </w:t>
      </w:r>
    </w:p>
    <w:p w14:paraId="6963799E" w14:textId="77777777" w:rsidR="00FA3151" w:rsidRPr="00FA3151" w:rsidRDefault="00FA3151" w:rsidP="00FA3151">
      <w:pPr>
        <w:tabs>
          <w:tab w:val="left" w:pos="4590"/>
        </w:tabs>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&lt;OIB &gt;</w:t>
      </w:r>
      <w:r w:rsidRPr="00FA3151">
        <w:rPr>
          <w:rFonts w:ascii="Times New Roman" w:eastAsia="Times New Roman" w:hAnsi="Times New Roman" w:cs="Times New Roman"/>
          <w:sz w:val="24"/>
          <w:szCs w:val="24"/>
        </w:rPr>
        <w:tab/>
      </w:r>
    </w:p>
    <w:p w14:paraId="283D88E7"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[financijska institucija kod koje se vodi račun Korisnika i broj računa Korisnika&gt;]</w:t>
      </w:r>
    </w:p>
    <w:p w14:paraId="5BB9CBF9"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(u nastavku teksta: Korisnik)</w:t>
      </w:r>
    </w:p>
    <w:p w14:paraId="01D3094B" w14:textId="77777777" w:rsidR="00FA3151" w:rsidRPr="00FA3151" w:rsidRDefault="00FA3151" w:rsidP="00FA3151">
      <w:pPr>
        <w:tabs>
          <w:tab w:val="left" w:pos="-1440"/>
          <w:tab w:val="left" w:pos="-720"/>
          <w:tab w:val="left" w:pos="828"/>
          <w:tab w:val="left" w:pos="1044"/>
          <w:tab w:val="left" w:pos="1260"/>
          <w:tab w:val="left" w:pos="1476"/>
          <w:tab w:val="left" w:pos="1692"/>
          <w:tab w:val="left" w:pos="2160"/>
        </w:tabs>
        <w:spacing w:after="0" w:line="240" w:lineRule="auto"/>
        <w:rPr>
          <w:rFonts w:ascii="Times New Roman" w:eastAsia="Times New Roman" w:hAnsi="Times New Roman" w:cs="Times New Roman"/>
          <w:sz w:val="24"/>
          <w:szCs w:val="24"/>
        </w:rPr>
      </w:pPr>
    </w:p>
    <w:p w14:paraId="18184310" w14:textId="77777777" w:rsidR="00FA3151" w:rsidRPr="00FA3151" w:rsidRDefault="00FA3151" w:rsidP="00FA3151">
      <w:pPr>
        <w:tabs>
          <w:tab w:val="left" w:pos="-1440"/>
          <w:tab w:val="left" w:pos="-720"/>
          <w:tab w:val="left" w:pos="828"/>
          <w:tab w:val="left" w:pos="1044"/>
          <w:tab w:val="left" w:pos="1260"/>
          <w:tab w:val="left" w:pos="1476"/>
          <w:tab w:val="left" w:pos="1692"/>
          <w:tab w:val="left" w:pos="2160"/>
        </w:tabs>
        <w:spacing w:after="0" w:line="240" w:lineRule="auto"/>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s druge strane, </w:t>
      </w:r>
    </w:p>
    <w:p w14:paraId="75D174DC" w14:textId="77777777" w:rsidR="00FA3151" w:rsidRPr="00FA3151" w:rsidRDefault="00FA3151" w:rsidP="00FA3151">
      <w:pPr>
        <w:tabs>
          <w:tab w:val="left" w:pos="-1440"/>
          <w:tab w:val="left" w:pos="-720"/>
          <w:tab w:val="left" w:pos="828"/>
          <w:tab w:val="left" w:pos="1044"/>
          <w:tab w:val="left" w:pos="1260"/>
          <w:tab w:val="left" w:pos="1476"/>
          <w:tab w:val="left" w:pos="1692"/>
          <w:tab w:val="left" w:pos="2160"/>
        </w:tabs>
        <w:spacing w:after="0" w:line="240" w:lineRule="auto"/>
        <w:rPr>
          <w:rFonts w:ascii="Times New Roman" w:eastAsia="Times New Roman" w:hAnsi="Times New Roman" w:cs="Times New Roman"/>
          <w:sz w:val="24"/>
          <w:szCs w:val="24"/>
        </w:rPr>
      </w:pPr>
    </w:p>
    <w:p w14:paraId="7F7D07AA"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(u nastavku teksta: Strane) složile su se kako slijedi: </w:t>
      </w:r>
    </w:p>
    <w:p w14:paraId="7A9C0CC0" w14:textId="77777777" w:rsidR="00FA3151" w:rsidRPr="00FA3151" w:rsidRDefault="00FA3151" w:rsidP="00FA3151">
      <w:pPr>
        <w:spacing w:after="0" w:line="240" w:lineRule="auto"/>
        <w:outlineLvl w:val="0"/>
        <w:rPr>
          <w:rFonts w:ascii="Times New Roman" w:eastAsia="Times New Roman" w:hAnsi="Times New Roman" w:cs="Times New Roman"/>
          <w:b/>
          <w:sz w:val="24"/>
          <w:szCs w:val="24"/>
        </w:rPr>
      </w:pPr>
    </w:p>
    <w:p w14:paraId="4FA215AA" w14:textId="77777777" w:rsidR="00FA3151" w:rsidRPr="00FA3151" w:rsidRDefault="00FA3151" w:rsidP="00FA3151">
      <w:pPr>
        <w:spacing w:after="0" w:line="240" w:lineRule="auto"/>
        <w:outlineLvl w:val="0"/>
        <w:rPr>
          <w:rFonts w:ascii="Times New Roman" w:eastAsia="Times New Roman" w:hAnsi="Times New Roman" w:cs="Times New Roman"/>
          <w:sz w:val="24"/>
          <w:szCs w:val="24"/>
        </w:rPr>
      </w:pPr>
    </w:p>
    <w:p w14:paraId="1825F499" w14:textId="77777777" w:rsidR="00FA3151" w:rsidRPr="00FA3151" w:rsidRDefault="00FA3151" w:rsidP="00FA3151">
      <w:pPr>
        <w:spacing w:after="0" w:line="240" w:lineRule="auto"/>
        <w:jc w:val="center"/>
        <w:outlineLvl w:val="0"/>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Svrha</w:t>
      </w:r>
    </w:p>
    <w:p w14:paraId="03256342" w14:textId="77777777" w:rsidR="00FA3151" w:rsidRPr="00FA3151" w:rsidRDefault="00FA3151" w:rsidP="00FA3151">
      <w:pPr>
        <w:spacing w:after="0" w:line="240" w:lineRule="auto"/>
        <w:jc w:val="both"/>
        <w:outlineLvl w:val="0"/>
        <w:rPr>
          <w:rFonts w:ascii="Times New Roman" w:eastAsia="Times New Roman" w:hAnsi="Times New Roman" w:cs="Times New Roman"/>
          <w:sz w:val="24"/>
          <w:szCs w:val="24"/>
        </w:rPr>
      </w:pPr>
    </w:p>
    <w:p w14:paraId="4C5D8E01" w14:textId="77777777" w:rsidR="00FA3151" w:rsidRPr="00FA3151" w:rsidRDefault="00FA3151" w:rsidP="00FA3151">
      <w:pPr>
        <w:spacing w:after="0" w:line="240" w:lineRule="auto"/>
        <w:ind w:left="567" w:hanging="567"/>
        <w:jc w:val="center"/>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Članak 1. </w:t>
      </w:r>
    </w:p>
    <w:p w14:paraId="3C1D8A97" w14:textId="77777777" w:rsidR="00FA3151" w:rsidRPr="00FA3151" w:rsidRDefault="00FA3151" w:rsidP="00FA3151">
      <w:pPr>
        <w:spacing w:after="0" w:line="240" w:lineRule="auto"/>
        <w:ind w:left="567" w:hanging="567"/>
        <w:jc w:val="both"/>
        <w:outlineLvl w:val="0"/>
        <w:rPr>
          <w:rFonts w:ascii="Times New Roman" w:eastAsia="Times New Roman" w:hAnsi="Times New Roman" w:cs="Times New Roman"/>
          <w:b/>
          <w:sz w:val="24"/>
          <w:szCs w:val="24"/>
        </w:rPr>
      </w:pPr>
    </w:p>
    <w:p w14:paraId="545AA59C"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1.1.</w:t>
      </w:r>
      <w:r w:rsidRPr="00FA3151">
        <w:rPr>
          <w:rFonts w:ascii="Times New Roman" w:eastAsia="Times New Roman" w:hAnsi="Times New Roman" w:cs="Times New Roman"/>
          <w:sz w:val="24"/>
          <w:szCs w:val="24"/>
        </w:rPr>
        <w:tab/>
        <w:t>Svrha ovog Ugovora je dodijeliti bespovratna financijska sredstva Korisniku u svrhu provedbe operacije pod nazivom:&lt;</w:t>
      </w:r>
      <w:r w:rsidRPr="00FA3151">
        <w:rPr>
          <w:rFonts w:ascii="Times New Roman" w:eastAsia="Times New Roman" w:hAnsi="Times New Roman" w:cs="Times New Roman"/>
          <w:i/>
          <w:sz w:val="24"/>
          <w:szCs w:val="24"/>
        </w:rPr>
        <w:t>naziv Operacije&gt;</w:t>
      </w:r>
      <w:r w:rsidRPr="00FA3151">
        <w:rPr>
          <w:rFonts w:ascii="Times New Roman" w:eastAsia="Times New Roman" w:hAnsi="Times New Roman" w:cs="Times New Roman"/>
          <w:sz w:val="24"/>
          <w:szCs w:val="24"/>
        </w:rPr>
        <w:t xml:space="preserve"> (u nastavku teksta: Operacija) opisanog u Prilogu I ovog Ugovora: Opis i proračun Operacije.</w:t>
      </w:r>
    </w:p>
    <w:p w14:paraId="34903AF2"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1C3237A0"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1.2.</w:t>
      </w:r>
      <w:r w:rsidRPr="00FA3151">
        <w:rPr>
          <w:rFonts w:ascii="Times New Roman" w:eastAsia="Times New Roman" w:hAnsi="Times New Roman" w:cs="Times New Roman"/>
          <w:sz w:val="24"/>
          <w:szCs w:val="24"/>
        </w:rPr>
        <w:tab/>
        <w:t xml:space="preserve">Bespovratna sredstva se dodjeljuju Korisniku u skladu s uvjetima utvrđenima u ovom Ugovoru, za koje Korisnik ovim putem izjavljuje da ih je u cijelosti primio na znanje, da ih je razumio i prihvatio.   </w:t>
      </w:r>
    </w:p>
    <w:p w14:paraId="4D8CA335"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275DF6EE"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1.3.</w:t>
      </w:r>
      <w:r w:rsidRPr="00FA3151">
        <w:rPr>
          <w:rFonts w:ascii="Times New Roman" w:eastAsia="Times New Roman" w:hAnsi="Times New Roman" w:cs="Times New Roman"/>
          <w:sz w:val="24"/>
          <w:szCs w:val="24"/>
        </w:rPr>
        <w:tab/>
        <w:t>Korisnik se obvezuje provesti Operaciju u skladu s opisom i opsegom Operacije kako je navedeno u uvjetima ovog Ugovora, te eventualnim odobrenim naknadnim izmjenama Ugovora.</w:t>
      </w:r>
    </w:p>
    <w:p w14:paraId="5AD6D7A9"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7F1C4801" w14:textId="77777777" w:rsidR="00FA3151" w:rsidRPr="00FA3151" w:rsidRDefault="00FA3151" w:rsidP="00FA3151">
      <w:pPr>
        <w:spacing w:after="0" w:line="240" w:lineRule="auto"/>
        <w:ind w:left="567" w:hanging="567"/>
        <w:jc w:val="center"/>
        <w:outlineLvl w:val="0"/>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Provedba Operacije</w:t>
      </w:r>
    </w:p>
    <w:p w14:paraId="7B0357DA" w14:textId="77777777" w:rsidR="00FA3151" w:rsidRPr="00FA3151" w:rsidRDefault="00FA3151" w:rsidP="00FA3151">
      <w:pPr>
        <w:spacing w:after="0" w:line="240" w:lineRule="auto"/>
        <w:ind w:left="567" w:hanging="567"/>
        <w:jc w:val="center"/>
        <w:rPr>
          <w:rFonts w:ascii="Times New Roman" w:eastAsia="Times New Roman" w:hAnsi="Times New Roman" w:cs="Times New Roman"/>
          <w:sz w:val="24"/>
          <w:szCs w:val="24"/>
        </w:rPr>
      </w:pPr>
    </w:p>
    <w:p w14:paraId="4A4E5263" w14:textId="77777777" w:rsidR="00FA3151" w:rsidRPr="00FA3151" w:rsidRDefault="00FA3151" w:rsidP="00FA3151">
      <w:pPr>
        <w:spacing w:after="0" w:line="240" w:lineRule="auto"/>
        <w:ind w:left="567" w:hanging="567"/>
        <w:jc w:val="center"/>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Članak 2. </w:t>
      </w:r>
    </w:p>
    <w:p w14:paraId="39BB741C" w14:textId="77777777" w:rsidR="00FA3151" w:rsidRPr="00FA3151" w:rsidRDefault="00FA3151" w:rsidP="00FA3151">
      <w:pPr>
        <w:spacing w:after="0" w:line="240" w:lineRule="auto"/>
        <w:ind w:left="567" w:hanging="567"/>
        <w:jc w:val="center"/>
        <w:outlineLvl w:val="0"/>
        <w:rPr>
          <w:rFonts w:ascii="Times New Roman" w:eastAsia="Times New Roman" w:hAnsi="Times New Roman" w:cs="Times New Roman"/>
          <w:b/>
          <w:sz w:val="24"/>
          <w:szCs w:val="24"/>
        </w:rPr>
      </w:pPr>
    </w:p>
    <w:p w14:paraId="67622F56"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2.1.</w:t>
      </w:r>
      <w:r w:rsidRPr="00FA3151">
        <w:rPr>
          <w:rFonts w:ascii="Times New Roman" w:eastAsia="Times New Roman" w:hAnsi="Times New Roman" w:cs="Times New Roman"/>
          <w:sz w:val="24"/>
          <w:szCs w:val="24"/>
        </w:rPr>
        <w:tab/>
        <w:t>Ovaj Ugovor stupa na snagu onoga dana kada ga potpiše posljednja ugovorna Strana te je na snazi do izvršenja svih prava i obaveza ugovornih Strana, odnosno do dana raskida Ugovora.</w:t>
      </w:r>
    </w:p>
    <w:p w14:paraId="3CBED5ED"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0021BD38"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2.2.</w:t>
      </w:r>
      <w:r w:rsidRPr="00FA3151">
        <w:rPr>
          <w:rFonts w:ascii="Times New Roman" w:eastAsia="Times New Roman" w:hAnsi="Times New Roman" w:cs="Times New Roman"/>
          <w:sz w:val="24"/>
          <w:szCs w:val="24"/>
        </w:rPr>
        <w:tab/>
        <w:t xml:space="preserve">Razdoblje provedbe Operacije je od &lt;…&gt; do &lt;…&gt;. </w:t>
      </w:r>
    </w:p>
    <w:p w14:paraId="2964B1D6"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170723D5"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2.3. </w:t>
      </w:r>
      <w:r w:rsidRPr="00FA3151">
        <w:rPr>
          <w:rFonts w:ascii="Times New Roman" w:eastAsia="Times New Roman" w:hAnsi="Times New Roman" w:cs="Times New Roman"/>
          <w:sz w:val="24"/>
          <w:szCs w:val="24"/>
        </w:rPr>
        <w:tab/>
        <w:t>Razdoblje prihvatljivosti troškova Operacije je od &lt;…&gt; do &lt;…&gt;.</w:t>
      </w:r>
    </w:p>
    <w:p w14:paraId="07F65004"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0F684E52"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2.4.   Korisnik podnosi Završni zahtjev za nadoknadu sredstava TOPFD-u najkasnije u roku od</w:t>
      </w:r>
    </w:p>
    <w:p w14:paraId="2F91615A" w14:textId="77777777" w:rsidR="00FA3151" w:rsidRPr="00FA3151" w:rsidRDefault="00FA3151" w:rsidP="00FA3151">
      <w:pPr>
        <w:spacing w:after="0" w:line="240" w:lineRule="auto"/>
        <w:ind w:left="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30 dana od završetka provedbe projekta. Završno izvješće dio je završnog zahtjeva za nadoknadom sredstava.</w:t>
      </w:r>
    </w:p>
    <w:p w14:paraId="7750910F"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68D9E4B5"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2.5.    Korisnik podnosi Zahtjeve za nadoknadom sredstava TOPFD-u tromjesečno, i to po</w:t>
      </w:r>
    </w:p>
    <w:p w14:paraId="0A27E220" w14:textId="77777777" w:rsidR="00FA3151" w:rsidRPr="00FA3151" w:rsidRDefault="00FA3151" w:rsidP="00FA3151">
      <w:pPr>
        <w:spacing w:after="0" w:line="240" w:lineRule="auto"/>
        <w:ind w:left="567" w:firstLine="60"/>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isteku 15 kalendarskih dana od proteka tromjesečnog razdoblja. Izvješće o napretku dio  je zahtjeva za nadoknadom sredstava. Za troškove koji su nastali prije sklapanja Ugovora, Korisnik može dostaviti prvi zahtjev za nadoknadom sredstava danom stupanja Ugovora na snagu pa sve do isteka prva tri mjeseca od navedenog datuma. Sljedeće zahtjeve Korisnik dostavlja tromjesečno. </w:t>
      </w:r>
    </w:p>
    <w:p w14:paraId="371AAE75"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15A38743"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2.6.</w:t>
      </w:r>
      <w:r w:rsidRPr="00FA3151">
        <w:rPr>
          <w:rFonts w:ascii="Times New Roman" w:eastAsia="Times New Roman" w:hAnsi="Times New Roman" w:cs="Times New Roman"/>
          <w:sz w:val="24"/>
          <w:szCs w:val="24"/>
        </w:rPr>
        <w:tab/>
        <w:t xml:space="preserve"> Rok u kojem je Korisnik obvezan čuvati dokumentaciju Operacije je sedam godina nakon zaključenja pomoći iz Fonda solidarnosti Europske unije.</w:t>
      </w:r>
    </w:p>
    <w:p w14:paraId="3D88D721"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45B1D2E5" w14:textId="77777777" w:rsidR="00FA3151" w:rsidRPr="00FA3151" w:rsidRDefault="00FA3151" w:rsidP="00FA3151">
      <w:pPr>
        <w:spacing w:after="0" w:line="240" w:lineRule="auto"/>
        <w:ind w:left="567" w:hanging="567"/>
        <w:jc w:val="center"/>
        <w:outlineLvl w:val="0"/>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Iznos bespovratnih sredstava, postotak financiranja Operacije i uređenje plaćanja</w:t>
      </w:r>
    </w:p>
    <w:p w14:paraId="51F48716"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2CEF4669" w14:textId="77777777" w:rsidR="00FA3151" w:rsidRPr="00FA3151" w:rsidRDefault="00FA3151" w:rsidP="00FA3151">
      <w:pPr>
        <w:spacing w:after="0" w:line="240" w:lineRule="auto"/>
        <w:ind w:left="567" w:hanging="567"/>
        <w:jc w:val="center"/>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Članak 3. </w:t>
      </w:r>
    </w:p>
    <w:p w14:paraId="726D07CD" w14:textId="77777777" w:rsidR="00FA3151" w:rsidRPr="00FA3151" w:rsidRDefault="00FA3151" w:rsidP="00FA3151">
      <w:pPr>
        <w:spacing w:after="0" w:line="240" w:lineRule="auto"/>
        <w:jc w:val="both"/>
        <w:outlineLvl w:val="0"/>
        <w:rPr>
          <w:rFonts w:ascii="Times New Roman" w:eastAsia="Times New Roman" w:hAnsi="Times New Roman" w:cs="Times New Roman"/>
          <w:b/>
          <w:sz w:val="24"/>
          <w:szCs w:val="24"/>
        </w:rPr>
      </w:pPr>
    </w:p>
    <w:p w14:paraId="5BD1459F"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3.1.</w:t>
      </w:r>
      <w:r w:rsidRPr="00FA3151">
        <w:rPr>
          <w:rFonts w:ascii="Times New Roman" w:eastAsia="Times New Roman" w:hAnsi="Times New Roman" w:cs="Times New Roman"/>
          <w:sz w:val="24"/>
          <w:szCs w:val="24"/>
        </w:rPr>
        <w:tab/>
      </w:r>
      <w:r w:rsidRPr="00FA3151">
        <w:rPr>
          <w:rFonts w:ascii="Times New Roman" w:eastAsia="Times New Roman" w:hAnsi="Times New Roman" w:cs="Times New Roman"/>
          <w:sz w:val="24"/>
          <w:szCs w:val="24"/>
        </w:rPr>
        <w:tab/>
        <w:t>Ukupna vrijednost Operacije se određuje u iznosu &lt;…&gt; kuna.</w:t>
      </w:r>
    </w:p>
    <w:p w14:paraId="0668D23C"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7E5609BB" w14:textId="77777777" w:rsidR="00FA3151" w:rsidRPr="00FA3151" w:rsidRDefault="00FA3151" w:rsidP="00FA3151">
      <w:pPr>
        <w:spacing w:after="0" w:line="240" w:lineRule="auto"/>
        <w:ind w:left="705" w:hanging="705"/>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3.2.</w:t>
      </w:r>
      <w:r w:rsidRPr="00FA3151">
        <w:rPr>
          <w:rFonts w:ascii="Times New Roman" w:eastAsia="Times New Roman" w:hAnsi="Times New Roman" w:cs="Times New Roman"/>
          <w:sz w:val="24"/>
          <w:szCs w:val="24"/>
        </w:rPr>
        <w:tab/>
      </w:r>
      <w:r w:rsidRPr="00FA3151">
        <w:rPr>
          <w:rFonts w:ascii="Times New Roman" w:eastAsia="Times New Roman" w:hAnsi="Times New Roman" w:cs="Times New Roman"/>
          <w:sz w:val="24"/>
          <w:szCs w:val="24"/>
        </w:rPr>
        <w:tab/>
        <w:t>Ukupni prihvatljivi troškovi Operacije iznose &lt;…&gt; kuna, kao što je utvrđeno u Prilogu I Opis i proračun Operacije, u skladu s Općim uvjetima Ugovora.</w:t>
      </w:r>
    </w:p>
    <w:p w14:paraId="45C04524"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7C2959CE" w14:textId="77777777" w:rsidR="00FA3151" w:rsidRPr="00FA3151" w:rsidRDefault="00FA3151" w:rsidP="00FA3151">
      <w:pPr>
        <w:spacing w:after="0" w:line="240" w:lineRule="auto"/>
        <w:ind w:left="705" w:hanging="705"/>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3.3.</w:t>
      </w:r>
      <w:r w:rsidRPr="00FA3151">
        <w:rPr>
          <w:rFonts w:ascii="Times New Roman" w:eastAsia="Times New Roman" w:hAnsi="Times New Roman" w:cs="Times New Roman"/>
          <w:sz w:val="24"/>
          <w:szCs w:val="24"/>
        </w:rPr>
        <w:tab/>
      </w:r>
      <w:r w:rsidRPr="00FA3151">
        <w:rPr>
          <w:rFonts w:ascii="Times New Roman" w:eastAsia="Times New Roman" w:hAnsi="Times New Roman" w:cs="Times New Roman"/>
          <w:sz w:val="24"/>
          <w:szCs w:val="24"/>
        </w:rPr>
        <w:tab/>
        <w:t xml:space="preserve">Dodjeljuju se bespovratna sredstva u iznosu od &lt;…&gt; kuna, što je najviši mogući iznos sufinanciranja ukupno utvrđene vrijednosti prihvatljivih troškova Operacije navedenih u stavku 3.2. ovoga članka. </w:t>
      </w:r>
    </w:p>
    <w:p w14:paraId="59672AF9"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65E8651A"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3.4. </w:t>
      </w:r>
      <w:r w:rsidRPr="00FA3151">
        <w:rPr>
          <w:rFonts w:ascii="Times New Roman" w:eastAsia="Times New Roman" w:hAnsi="Times New Roman" w:cs="Times New Roman"/>
          <w:sz w:val="24"/>
          <w:szCs w:val="24"/>
        </w:rPr>
        <w:tab/>
        <w:t xml:space="preserve"> </w:t>
      </w:r>
      <w:r w:rsidRPr="00FA3151">
        <w:rPr>
          <w:rFonts w:ascii="Times New Roman" w:eastAsia="Times New Roman" w:hAnsi="Times New Roman" w:cs="Times New Roman"/>
          <w:sz w:val="24"/>
          <w:szCs w:val="24"/>
        </w:rPr>
        <w:tab/>
        <w:t xml:space="preserve">Iznosi bespovratnih sredstava koji se plaćaju Korisniku tijekom provedbe Operacije i  </w:t>
      </w:r>
    </w:p>
    <w:p w14:paraId="1F7B7DB3" w14:textId="77777777" w:rsidR="00FA3151" w:rsidRPr="00FA3151" w:rsidRDefault="00FA3151" w:rsidP="00FA3151">
      <w:pPr>
        <w:spacing w:after="0" w:line="240" w:lineRule="auto"/>
        <w:ind w:left="567" w:firstLine="141"/>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konačni iznos financiranja utvrđuju se u skladu s Općim uvjetima Ugovora.</w:t>
      </w:r>
    </w:p>
    <w:p w14:paraId="5F91FB0A"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7E58A59E"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3.5.   </w:t>
      </w:r>
      <w:r w:rsidRPr="00FA3151">
        <w:rPr>
          <w:rFonts w:ascii="Times New Roman" w:eastAsia="Times New Roman" w:hAnsi="Times New Roman" w:cs="Times New Roman"/>
          <w:sz w:val="24"/>
          <w:szCs w:val="24"/>
        </w:rPr>
        <w:tab/>
        <w:t>Korisnik se obvezuje osigurati sredstva u svrhu pokrića troškova za koje se naknadno</w:t>
      </w:r>
    </w:p>
    <w:p w14:paraId="29D68953" w14:textId="77777777" w:rsidR="00FA3151" w:rsidRPr="00FA3151" w:rsidRDefault="00FA3151" w:rsidP="00FA3151">
      <w:pPr>
        <w:spacing w:after="0" w:line="240" w:lineRule="auto"/>
        <w:ind w:left="708" w:firstLine="60"/>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utvrdi da su neprihvatljivi te osigurava raspoloživost sredstava ukupne vrijednosti Operacije u svrhu pokrića neprihvatljivih troškova. </w:t>
      </w:r>
    </w:p>
    <w:p w14:paraId="265EF06C" w14:textId="77777777" w:rsidR="00FA3151" w:rsidRPr="00FA3151" w:rsidRDefault="00FA3151" w:rsidP="00FA3151">
      <w:pPr>
        <w:tabs>
          <w:tab w:val="left" w:pos="567"/>
        </w:tabs>
        <w:spacing w:after="0" w:line="240" w:lineRule="auto"/>
        <w:jc w:val="both"/>
        <w:outlineLvl w:val="0"/>
        <w:rPr>
          <w:rFonts w:ascii="Times New Roman" w:eastAsia="Times New Roman" w:hAnsi="Times New Roman" w:cs="Times New Roman"/>
          <w:sz w:val="24"/>
          <w:szCs w:val="24"/>
        </w:rPr>
      </w:pPr>
    </w:p>
    <w:p w14:paraId="233A2CB6" w14:textId="77777777" w:rsidR="00FA3151" w:rsidRPr="00FA3151" w:rsidRDefault="00FA3151" w:rsidP="00FA3151">
      <w:pPr>
        <w:spacing w:after="0" w:line="240" w:lineRule="auto"/>
        <w:ind w:left="705" w:hanging="705"/>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3.6. </w:t>
      </w:r>
      <w:r w:rsidRPr="00FA3151">
        <w:rPr>
          <w:rFonts w:ascii="Times New Roman" w:eastAsia="Times New Roman" w:hAnsi="Times New Roman" w:cs="Times New Roman"/>
          <w:sz w:val="24"/>
          <w:szCs w:val="24"/>
        </w:rPr>
        <w:tab/>
        <w:t xml:space="preserve">Ako Korisnik ne postupa u skladu s odlukom kojom je naložen povrat sredstava, i/ili je bankovni račun Korisnika blokiran zbog prisilne naplate potraživanja, u odnosu na Korisnika obustavljaju se daljnje isplate, ili se po odluci TOPFD-a iznos koji je Korisnik trebao vratiti odbija od iznosa daljnjih plaćanja.  </w:t>
      </w:r>
    </w:p>
    <w:p w14:paraId="09D214EB" w14:textId="77777777" w:rsidR="00FA3151" w:rsidRPr="00FA3151" w:rsidRDefault="00FA3151" w:rsidP="00FA3151">
      <w:pPr>
        <w:spacing w:after="0" w:line="240" w:lineRule="auto"/>
        <w:jc w:val="both"/>
        <w:outlineLvl w:val="0"/>
        <w:rPr>
          <w:rFonts w:ascii="Times New Roman" w:eastAsia="Times New Roman" w:hAnsi="Times New Roman" w:cs="Times New Roman"/>
          <w:b/>
          <w:sz w:val="24"/>
          <w:szCs w:val="24"/>
        </w:rPr>
      </w:pPr>
    </w:p>
    <w:p w14:paraId="5B7923D5" w14:textId="77777777" w:rsidR="00FA3151" w:rsidRPr="00FA3151" w:rsidRDefault="00FA3151" w:rsidP="00FA3151">
      <w:pPr>
        <w:spacing w:after="0" w:line="240" w:lineRule="auto"/>
        <w:ind w:left="567" w:hanging="567"/>
        <w:jc w:val="center"/>
        <w:outlineLvl w:val="0"/>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Osiguravanje revizijskog traga</w:t>
      </w:r>
    </w:p>
    <w:p w14:paraId="51607F84" w14:textId="77777777" w:rsidR="00FA3151" w:rsidRPr="00FA3151" w:rsidRDefault="00FA3151" w:rsidP="00FA3151">
      <w:pPr>
        <w:tabs>
          <w:tab w:val="left" w:pos="567"/>
        </w:tabs>
        <w:spacing w:after="0" w:line="240" w:lineRule="auto"/>
        <w:jc w:val="center"/>
        <w:outlineLvl w:val="0"/>
        <w:rPr>
          <w:rFonts w:ascii="Times New Roman" w:eastAsia="Times New Roman" w:hAnsi="Times New Roman" w:cs="Times New Roman"/>
          <w:sz w:val="24"/>
          <w:szCs w:val="24"/>
        </w:rPr>
      </w:pPr>
    </w:p>
    <w:p w14:paraId="7E08BC52" w14:textId="77777777" w:rsidR="00FA3151" w:rsidRPr="00FA3151" w:rsidRDefault="00FA3151" w:rsidP="00FA3151">
      <w:pPr>
        <w:spacing w:after="0" w:line="240" w:lineRule="auto"/>
        <w:ind w:left="567" w:hanging="567"/>
        <w:jc w:val="center"/>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Članak 4. </w:t>
      </w:r>
    </w:p>
    <w:p w14:paraId="302DA008" w14:textId="77777777" w:rsidR="00FA3151" w:rsidRPr="00FA3151" w:rsidRDefault="00FA3151" w:rsidP="00FA3151">
      <w:pPr>
        <w:spacing w:after="0" w:line="240" w:lineRule="auto"/>
        <w:ind w:left="567" w:hanging="567"/>
        <w:jc w:val="both"/>
        <w:outlineLvl w:val="0"/>
        <w:rPr>
          <w:rFonts w:ascii="Times New Roman" w:eastAsia="Times New Roman" w:hAnsi="Times New Roman" w:cs="Times New Roman"/>
          <w:b/>
          <w:sz w:val="24"/>
          <w:szCs w:val="24"/>
        </w:rPr>
      </w:pPr>
    </w:p>
    <w:p w14:paraId="616131B0"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Ograničenja u pogledu </w:t>
      </w:r>
      <w:r w:rsidRPr="00A36CEC">
        <w:rPr>
          <w:rFonts w:ascii="Times New Roman" w:eastAsia="Times New Roman" w:hAnsi="Times New Roman" w:cs="Times New Roman"/>
          <w:strike/>
          <w:sz w:val="24"/>
          <w:szCs w:val="24"/>
        </w:rPr>
        <w:t>zahtjeva trajnosti i</w:t>
      </w:r>
      <w:r w:rsidRPr="00FA3151">
        <w:rPr>
          <w:rFonts w:ascii="Times New Roman" w:eastAsia="Times New Roman" w:hAnsi="Times New Roman" w:cs="Times New Roman"/>
          <w:sz w:val="24"/>
          <w:szCs w:val="24"/>
        </w:rPr>
        <w:t xml:space="preserve"> osiguravanja revizijskog traga u okviru operacije primjenjuju se tijekom razdoblja od sedam godina nakon zaključenja pomoći iz Fonda solidarnosti Europske unije. </w:t>
      </w:r>
    </w:p>
    <w:p w14:paraId="68BC2485" w14:textId="77777777" w:rsidR="00FA3151" w:rsidRPr="00FA3151" w:rsidRDefault="00FA3151" w:rsidP="00FA3151">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14D1FEA0"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i/>
          <w:sz w:val="24"/>
          <w:szCs w:val="24"/>
        </w:rPr>
      </w:pPr>
    </w:p>
    <w:p w14:paraId="572200B6"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Neprihvatljivi izdaci</w:t>
      </w:r>
    </w:p>
    <w:p w14:paraId="4E8235FC"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i/>
          <w:sz w:val="24"/>
          <w:szCs w:val="24"/>
        </w:rPr>
      </w:pPr>
    </w:p>
    <w:p w14:paraId="745DE5A7"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Članak 5. </w:t>
      </w:r>
    </w:p>
    <w:p w14:paraId="51402117" w14:textId="77777777" w:rsidR="00FA3151" w:rsidRPr="00FA3151" w:rsidRDefault="00FA3151" w:rsidP="00FA3151">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24425F13" w14:textId="77777777" w:rsidR="00FA3151" w:rsidRPr="00FA3151" w:rsidRDefault="00FA3151" w:rsidP="00FA3151">
      <w:pPr>
        <w:tabs>
          <w:tab w:val="left" w:pos="567"/>
        </w:tabs>
        <w:spacing w:after="0" w:line="240" w:lineRule="auto"/>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Sljedeće vrste troškova/izdataka nisu prihvatljive za financiranje u okviru Operacije: </w:t>
      </w:r>
    </w:p>
    <w:p w14:paraId="21462F13" w14:textId="77777777" w:rsidR="00FA3151" w:rsidRPr="00FA3151" w:rsidRDefault="00FA3151" w:rsidP="00FA3151">
      <w:pPr>
        <w:tabs>
          <w:tab w:val="left" w:pos="567"/>
        </w:tabs>
        <w:spacing w:after="0" w:line="240" w:lineRule="auto"/>
        <w:jc w:val="both"/>
        <w:outlineLvl w:val="0"/>
        <w:rPr>
          <w:rFonts w:ascii="Times New Roman" w:eastAsia="Times New Roman" w:hAnsi="Times New Roman" w:cs="Times New Roman"/>
          <w:sz w:val="24"/>
          <w:szCs w:val="24"/>
        </w:rPr>
      </w:pPr>
    </w:p>
    <w:p w14:paraId="1C88B735"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nadoknadivi PDV tj. porez na dodanu vrijednost za koji prijavitelj/korisnik ima pravo ostvariti odbitak; </w:t>
      </w:r>
    </w:p>
    <w:p w14:paraId="43E934C9"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kamate na dug; </w:t>
      </w:r>
    </w:p>
    <w:p w14:paraId="649AD643"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kupnja rabljene opreme;</w:t>
      </w:r>
    </w:p>
    <w:p w14:paraId="231AC0FA"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 kupnja vozila koja se koriste u svrhu upravljanja operacijom;</w:t>
      </w:r>
    </w:p>
    <w:p w14:paraId="5469FB3B"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 nadoknada troškova prijevoza osoba, </w:t>
      </w:r>
    </w:p>
    <w:p w14:paraId="00D7DA0F"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materijalna prava radnika u smislu nadoknade troškova, potpora, nagrada te otpremnine; </w:t>
      </w:r>
    </w:p>
    <w:p w14:paraId="73D519D5"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kazne, financijske globe, troškovi povezani s </w:t>
      </w:r>
      <w:proofErr w:type="spellStart"/>
      <w:r w:rsidRPr="00FA3151">
        <w:rPr>
          <w:rFonts w:ascii="Times New Roman" w:eastAsia="Times New Roman" w:hAnsi="Times New Roman" w:cs="Times New Roman"/>
          <w:sz w:val="24"/>
          <w:szCs w:val="24"/>
        </w:rPr>
        <w:t>predstečajem</w:t>
      </w:r>
      <w:proofErr w:type="spellEnd"/>
      <w:r w:rsidRPr="00FA3151">
        <w:rPr>
          <w:rFonts w:ascii="Times New Roman" w:eastAsia="Times New Roman" w:hAnsi="Times New Roman" w:cs="Times New Roman"/>
          <w:sz w:val="24"/>
          <w:szCs w:val="24"/>
        </w:rPr>
        <w:t xml:space="preserve">, stečajem i likvidacijom; </w:t>
      </w:r>
    </w:p>
    <w:p w14:paraId="514CFCE9"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troškovi sudskih i izvan sudskih sporova; </w:t>
      </w:r>
    </w:p>
    <w:p w14:paraId="118F57AE"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gubici zbog fluktuacija valutnih tečaja i provizija na valutni tečaj;</w:t>
      </w:r>
    </w:p>
    <w:p w14:paraId="43236A4E"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 troškovi za otvaranje, zatvaranje i vođenje računa, naknade za financijske transfere, trošak ishođenja kredita ili pozajmice kod financijske institucije, javnobilježnički trošak; </w:t>
      </w:r>
    </w:p>
    <w:p w14:paraId="40B1FFBD"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doprinosi u naravi u obliku izvršavanja radova ili osiguravanja robe, usluga, zemljišta i nekretnina za koje nije izvršeno plaćanje u gotovini, potkrijepljeno računima ili dokumentima odgovarajuće iste dokazne vrijednosti;</w:t>
      </w:r>
    </w:p>
    <w:p w14:paraId="07ACC17E"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troškovi amortizacije; </w:t>
      </w:r>
    </w:p>
    <w:p w14:paraId="0987AB5C"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kupoprodaja zemljišta; </w:t>
      </w:r>
    </w:p>
    <w:p w14:paraId="34C59ED2"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troškovi leasinga;</w:t>
      </w:r>
    </w:p>
    <w:p w14:paraId="1C6AB32F"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 neizravni troškovi; </w:t>
      </w:r>
    </w:p>
    <w:p w14:paraId="4468E432"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trošak jamstva koje izdaje banka ili druga financijska institucija;</w:t>
      </w:r>
    </w:p>
    <w:p w14:paraId="07072F01"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 troškovi zakupa materijalne imovine; </w:t>
      </w:r>
    </w:p>
    <w:p w14:paraId="39A2EEDD"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troškovi koji nisu povezani sa svrhom operacije;</w:t>
      </w:r>
    </w:p>
    <w:p w14:paraId="3AB26249" w14:textId="745DA172"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 troškovi nastali prije 22. ožujka 2020. godine</w:t>
      </w:r>
      <w:r w:rsidR="008D7B6C">
        <w:rPr>
          <w:rFonts w:ascii="Times New Roman" w:eastAsia="Times New Roman" w:hAnsi="Times New Roman" w:cs="Times New Roman"/>
          <w:sz w:val="24"/>
          <w:szCs w:val="24"/>
        </w:rPr>
        <w:t>;</w:t>
      </w:r>
    </w:p>
    <w:p w14:paraId="687167BA" w14:textId="4F920010"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 ostali troškovi nespomenuti kao prihvatljivi</w:t>
      </w:r>
      <w:r w:rsidR="008D7B6C">
        <w:rPr>
          <w:rFonts w:ascii="Times New Roman" w:eastAsia="Times New Roman" w:hAnsi="Times New Roman" w:cs="Times New Roman"/>
          <w:sz w:val="24"/>
          <w:szCs w:val="24"/>
        </w:rPr>
        <w:t xml:space="preserve"> te</w:t>
      </w:r>
      <w:bookmarkStart w:id="0" w:name="_GoBack"/>
      <w:bookmarkEnd w:id="0"/>
    </w:p>
    <w:p w14:paraId="61A54946" w14:textId="77777777" w:rsidR="00FA3151" w:rsidRPr="00FA3151" w:rsidRDefault="00FA3151" w:rsidP="00FA3151">
      <w:pPr>
        <w:numPr>
          <w:ilvl w:val="0"/>
          <w:numId w:val="1"/>
        </w:numPr>
        <w:tabs>
          <w:tab w:val="left" w:pos="567"/>
        </w:tabs>
        <w:spacing w:after="0" w:line="240" w:lineRule="auto"/>
        <w:contextualSpacing/>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bCs/>
          <w:sz w:val="24"/>
          <w:szCs w:val="24"/>
        </w:rPr>
        <w:t>troškovi financiranja stambenog zbrinjavanja osoba čije su nekretnine stradale u potresu na dan 28. ili 29. prosinca 2020. godine na području Grada Zagreba, Krapinsko-zagorske županije, Zagrebačke županije, Sisačko-moslavačke županije i Karlovačke županije</w:t>
      </w:r>
    </w:p>
    <w:p w14:paraId="1CF8E231" w14:textId="77777777" w:rsidR="00FA3151" w:rsidRPr="00FA3151" w:rsidRDefault="00FA3151" w:rsidP="00FA3151">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130A2A86"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Mjere osiguravanja informiranja</w:t>
      </w:r>
    </w:p>
    <w:p w14:paraId="080E1D6A"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sz w:val="24"/>
          <w:szCs w:val="24"/>
        </w:rPr>
      </w:pPr>
    </w:p>
    <w:p w14:paraId="208B30F8"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Članak 6. </w:t>
      </w:r>
    </w:p>
    <w:p w14:paraId="16E25C2F" w14:textId="77777777" w:rsidR="00FA3151" w:rsidRPr="00FA3151" w:rsidRDefault="00FA3151" w:rsidP="00FA3151">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04F7327F" w14:textId="77777777" w:rsidR="00FA3151" w:rsidRPr="00FA3151" w:rsidRDefault="00FA3151" w:rsidP="00FA3151">
      <w:pPr>
        <w:tabs>
          <w:tab w:val="left" w:pos="567"/>
        </w:tabs>
        <w:spacing w:after="0" w:line="240" w:lineRule="auto"/>
        <w:jc w:val="both"/>
        <w:outlineLvl w:val="0"/>
        <w:rPr>
          <w:rFonts w:ascii="Times New Roman" w:eastAsia="Times New Roman" w:hAnsi="Times New Roman" w:cs="Times New Roman"/>
          <w:iCs/>
          <w:sz w:val="24"/>
          <w:szCs w:val="24"/>
        </w:rPr>
      </w:pPr>
      <w:r w:rsidRPr="00FA3151">
        <w:rPr>
          <w:rFonts w:ascii="Times New Roman" w:eastAsia="Times New Roman" w:hAnsi="Times New Roman" w:cs="Times New Roman"/>
          <w:iCs/>
          <w:sz w:val="24"/>
          <w:szCs w:val="24"/>
        </w:rPr>
        <w:t xml:space="preserve">Korisnik mora poduzeti najmanje jednu mjeru obavještavanja javnosti koja treba biti usmjerena na korisnike rezultata operacije, a ako je prikladno, na javnost i medije. </w:t>
      </w:r>
    </w:p>
    <w:p w14:paraId="1A58E730" w14:textId="77777777" w:rsidR="00FA3151" w:rsidRPr="00FA3151" w:rsidRDefault="00FA3151" w:rsidP="00FA3151">
      <w:pPr>
        <w:tabs>
          <w:tab w:val="left" w:pos="567"/>
        </w:tabs>
        <w:spacing w:after="0" w:line="240" w:lineRule="auto"/>
        <w:jc w:val="both"/>
        <w:outlineLvl w:val="0"/>
        <w:rPr>
          <w:rFonts w:ascii="Times New Roman" w:eastAsia="Times New Roman" w:hAnsi="Times New Roman" w:cs="Times New Roman"/>
          <w:iCs/>
          <w:sz w:val="24"/>
          <w:szCs w:val="24"/>
        </w:rPr>
      </w:pPr>
    </w:p>
    <w:p w14:paraId="5FA9E6FD" w14:textId="77777777" w:rsidR="00FA3151" w:rsidRPr="00FA3151" w:rsidRDefault="00FA3151" w:rsidP="00FA3151">
      <w:pPr>
        <w:tabs>
          <w:tab w:val="left" w:pos="567"/>
        </w:tabs>
        <w:spacing w:after="0" w:line="240" w:lineRule="auto"/>
        <w:jc w:val="both"/>
        <w:outlineLvl w:val="0"/>
        <w:rPr>
          <w:rFonts w:ascii="Times New Roman" w:eastAsia="Times New Roman" w:hAnsi="Times New Roman" w:cs="Times New Roman"/>
          <w:iCs/>
          <w:sz w:val="24"/>
          <w:szCs w:val="24"/>
        </w:rPr>
      </w:pPr>
      <w:r w:rsidRPr="00FA3151">
        <w:rPr>
          <w:rFonts w:ascii="Times New Roman" w:eastAsia="Times New Roman" w:hAnsi="Times New Roman" w:cs="Times New Roman"/>
          <w:iCs/>
          <w:sz w:val="24"/>
          <w:szCs w:val="24"/>
        </w:rPr>
        <w:t>Korisnik može vlastitim sredstvima provoditi ili sudjelovati u oglašavanju i mjerama osiguravanja javnosti i vidljivosti sukladno članku 9. Općih uvjeta ovog Ugovora.</w:t>
      </w:r>
    </w:p>
    <w:p w14:paraId="140F6DDA" w14:textId="77777777" w:rsidR="00FA3151" w:rsidRPr="00FA3151" w:rsidRDefault="00FA3151" w:rsidP="00FA3151">
      <w:pPr>
        <w:tabs>
          <w:tab w:val="left" w:pos="567"/>
        </w:tabs>
        <w:spacing w:after="0" w:line="240" w:lineRule="auto"/>
        <w:jc w:val="both"/>
        <w:outlineLvl w:val="0"/>
        <w:rPr>
          <w:rFonts w:ascii="Times New Roman" w:eastAsia="Times New Roman" w:hAnsi="Times New Roman" w:cs="Times New Roman"/>
          <w:iCs/>
          <w:sz w:val="24"/>
          <w:szCs w:val="24"/>
        </w:rPr>
      </w:pPr>
    </w:p>
    <w:p w14:paraId="2EF5F3ED" w14:textId="77777777" w:rsidR="00FA3151" w:rsidRPr="00FA3151" w:rsidRDefault="00FA3151" w:rsidP="00FA3151">
      <w:pPr>
        <w:tabs>
          <w:tab w:val="left" w:pos="567"/>
        </w:tabs>
        <w:spacing w:after="0" w:line="240" w:lineRule="auto"/>
        <w:jc w:val="both"/>
        <w:outlineLvl w:val="0"/>
        <w:rPr>
          <w:rFonts w:ascii="Times New Roman" w:eastAsia="Times New Roman" w:hAnsi="Times New Roman" w:cs="Times New Roman"/>
          <w:iCs/>
          <w:sz w:val="24"/>
          <w:szCs w:val="24"/>
        </w:rPr>
      </w:pPr>
      <w:r w:rsidRPr="00FA3151">
        <w:rPr>
          <w:rFonts w:ascii="Times New Roman" w:eastAsia="Times New Roman" w:hAnsi="Times New Roman" w:cs="Times New Roman"/>
          <w:iCs/>
          <w:sz w:val="24"/>
          <w:szCs w:val="24"/>
        </w:rPr>
        <w:t>Odredbe članka 9. stavka 9.1. i 9.2. Općih uvjeta ovog Ugovora nisu obvezujuće za Korisnika.</w:t>
      </w:r>
    </w:p>
    <w:p w14:paraId="2C9B99A0" w14:textId="77777777" w:rsidR="00FA3151" w:rsidRPr="00FA3151" w:rsidRDefault="00FA3151" w:rsidP="00FA3151">
      <w:pPr>
        <w:tabs>
          <w:tab w:val="left" w:pos="567"/>
        </w:tabs>
        <w:spacing w:after="0" w:line="240" w:lineRule="auto"/>
        <w:jc w:val="both"/>
        <w:outlineLvl w:val="0"/>
        <w:rPr>
          <w:rFonts w:ascii="Times New Roman" w:eastAsia="Times New Roman" w:hAnsi="Times New Roman" w:cs="Times New Roman"/>
          <w:iCs/>
          <w:sz w:val="24"/>
          <w:szCs w:val="24"/>
        </w:rPr>
      </w:pPr>
    </w:p>
    <w:p w14:paraId="68615063" w14:textId="77777777" w:rsidR="00FA3151" w:rsidRPr="00FA3151" w:rsidRDefault="00FA3151" w:rsidP="00FA3151">
      <w:pPr>
        <w:tabs>
          <w:tab w:val="left" w:pos="567"/>
        </w:tabs>
        <w:spacing w:after="0" w:line="240" w:lineRule="auto"/>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 </w:t>
      </w:r>
    </w:p>
    <w:p w14:paraId="7855C7D1" w14:textId="77777777" w:rsidR="00FA3151" w:rsidRPr="00FA3151" w:rsidRDefault="00FA3151" w:rsidP="00FA3151">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0DDFA5AC"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Upravljanje imovinom Operacije i prijenos Ugovora</w:t>
      </w:r>
    </w:p>
    <w:p w14:paraId="57E37DFE" w14:textId="77777777" w:rsidR="00FA3151" w:rsidRPr="00FA3151" w:rsidRDefault="00FA3151" w:rsidP="00FA3151">
      <w:pPr>
        <w:tabs>
          <w:tab w:val="left" w:pos="567"/>
        </w:tabs>
        <w:spacing w:after="0" w:line="240" w:lineRule="auto"/>
        <w:ind w:left="567" w:hanging="567"/>
        <w:jc w:val="both"/>
        <w:outlineLvl w:val="0"/>
        <w:rPr>
          <w:rFonts w:ascii="Times New Roman" w:eastAsia="Times New Roman" w:hAnsi="Times New Roman" w:cs="Times New Roman"/>
          <w:i/>
          <w:sz w:val="24"/>
          <w:szCs w:val="24"/>
        </w:rPr>
      </w:pPr>
    </w:p>
    <w:p w14:paraId="4D655031"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Članak 7. </w:t>
      </w:r>
    </w:p>
    <w:p w14:paraId="42C23640" w14:textId="77777777" w:rsidR="00FA3151" w:rsidRPr="00FA3151" w:rsidRDefault="00FA3151" w:rsidP="00FA3151">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2FA815E9"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7.1. Imovina koja je stečena u Operaciji mora se koristiti u skladu s opisom Operacije sadržanim u Prilogu I ovog Ugovora i u skladu sa zahtjevima trajnosti (ako su utvrđeni pozivom na dodjelu bespovratnih financijskih sredstava). </w:t>
      </w:r>
    </w:p>
    <w:p w14:paraId="5E5D4B42"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3C1D04FC"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7.2. Korisnik ne smije prenijeti tražbinu iz ovog Ugovora na drugoga bez suglasnosti TOPFD-a, uključujući i opremu nabavljenu na temelju ovog Ugovora.</w:t>
      </w:r>
    </w:p>
    <w:p w14:paraId="40550180"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1827700E"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3C0299C9"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7.3. Pravo vlasništva i druga stvarna prava, kao i imovinska prava, ne smiju se prenositi na treće osobe 5 godina nakon završetka razdoblja provedbe operacije, a iznimno prije isteka navedenog roka uz prethodnu suglasnost TOPFD-a.</w:t>
      </w:r>
    </w:p>
    <w:p w14:paraId="4AD27F8C"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0873FB4C"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647C597D"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11820A2C"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7.4. Ako je odobren prijenos ugovora o dodjeli bespovratnih financijskih sredstava, u skladu s Općim uvjetima ovog Ugovora, pisani sporazum kojim se uređuje pitanje predmetnog prijenosa prilaže se ovom Ugovoru.</w:t>
      </w:r>
    </w:p>
    <w:p w14:paraId="44CCF3D4"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05B2EE8D" w14:textId="77777777" w:rsidR="00FA3151" w:rsidRPr="00FA3151" w:rsidRDefault="00FA3151" w:rsidP="00FA3151">
      <w:pPr>
        <w:tabs>
          <w:tab w:val="left" w:pos="567"/>
        </w:tabs>
        <w:spacing w:after="0" w:line="240" w:lineRule="auto"/>
        <w:jc w:val="both"/>
        <w:outlineLvl w:val="0"/>
        <w:rPr>
          <w:rFonts w:ascii="Times New Roman" w:eastAsia="Times New Roman" w:hAnsi="Times New Roman" w:cs="Times New Roman"/>
          <w:b/>
          <w:sz w:val="24"/>
          <w:szCs w:val="24"/>
        </w:rPr>
      </w:pPr>
    </w:p>
    <w:p w14:paraId="3C76453B"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Ostali uvjeti</w:t>
      </w:r>
    </w:p>
    <w:p w14:paraId="204AB024"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sz w:val="24"/>
          <w:szCs w:val="24"/>
        </w:rPr>
      </w:pPr>
    </w:p>
    <w:p w14:paraId="6C542865"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Članak 8. </w:t>
      </w:r>
    </w:p>
    <w:p w14:paraId="739EAA4B"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28F7E5F9"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8.1. </w:t>
      </w:r>
      <w:r w:rsidRPr="00FA3151">
        <w:rPr>
          <w:rFonts w:ascii="Times New Roman" w:eastAsia="Times New Roman" w:hAnsi="Times New Roman" w:cs="Times New Roman"/>
          <w:sz w:val="24"/>
          <w:szCs w:val="24"/>
        </w:rPr>
        <w:tab/>
        <w:t xml:space="preserve">Korisnik nije obvezan podnositi TOPFD-u izvješće nakon provedbe operacije iz članka 13. Općih uvjeta Ugovora. </w:t>
      </w:r>
    </w:p>
    <w:p w14:paraId="493E5C7F"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786F4235"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8.2. </w:t>
      </w:r>
      <w:r w:rsidRPr="00FA3151">
        <w:rPr>
          <w:rFonts w:ascii="Times New Roman" w:eastAsia="Times New Roman" w:hAnsi="Times New Roman" w:cs="Times New Roman"/>
        </w:rPr>
        <w:tab/>
      </w:r>
      <w:r w:rsidRPr="00FA3151">
        <w:rPr>
          <w:rFonts w:ascii="Times New Roman" w:eastAsia="Times New Roman" w:hAnsi="Times New Roman" w:cs="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5F4BF5CB"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00216768"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8.3. U slučaju neslaganja odredbi ovog Ugovora i nekog od Priloga koji je sastavni dio Ugovora, odredbe Ugovora imaju prvenstvo. </w:t>
      </w:r>
    </w:p>
    <w:p w14:paraId="1C88C186"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4574E2C2"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highlight w:val="yellow"/>
        </w:rPr>
        <w:t>8.4.</w:t>
      </w:r>
      <w:r w:rsidRPr="00FA3151">
        <w:rPr>
          <w:rFonts w:ascii="Times New Roman" w:eastAsia="Times New Roman" w:hAnsi="Times New Roman" w:cs="Times New Roman"/>
          <w:sz w:val="24"/>
          <w:szCs w:val="24"/>
        </w:rPr>
        <w:t xml:space="preserve"> U slučaju neslaganja odredbi Općih uvjeta Ugovora i ostalih Priloga, odredbe Općih uvjeta Ugovora imaju prvenstvo.</w:t>
      </w:r>
    </w:p>
    <w:p w14:paraId="302C13BB"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25FDABF3" w14:textId="77777777" w:rsidR="00FA3151" w:rsidRPr="00FA3151" w:rsidRDefault="00FA3151" w:rsidP="00FA3151">
      <w:pPr>
        <w:spacing w:after="0" w:line="240" w:lineRule="auto"/>
        <w:jc w:val="both"/>
        <w:rPr>
          <w:rFonts w:ascii="Times New Roman" w:eastAsia="Times New Roman" w:hAnsi="Times New Roman" w:cs="Times New Roman"/>
          <w:i/>
          <w:sz w:val="24"/>
          <w:szCs w:val="24"/>
        </w:rPr>
      </w:pPr>
    </w:p>
    <w:p w14:paraId="0FBA59E7"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7B17B779"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57E6A4E0"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46501265"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08DE918C" w14:textId="11EE86EE" w:rsidR="00FA3151" w:rsidRDefault="00FA3151" w:rsidP="00FA3151">
      <w:pPr>
        <w:spacing w:after="0" w:line="240" w:lineRule="auto"/>
        <w:jc w:val="both"/>
        <w:rPr>
          <w:rFonts w:ascii="Times New Roman" w:eastAsia="Times New Roman" w:hAnsi="Times New Roman" w:cs="Times New Roman"/>
          <w:sz w:val="24"/>
          <w:szCs w:val="24"/>
        </w:rPr>
      </w:pPr>
    </w:p>
    <w:p w14:paraId="06BB1F32"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5D826E11"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 xml:space="preserve">Komunikacija ugovornih Strana </w:t>
      </w:r>
    </w:p>
    <w:p w14:paraId="6FC56394" w14:textId="77777777" w:rsidR="00FA3151" w:rsidRPr="00FA3151" w:rsidRDefault="00FA3151" w:rsidP="00FA3151">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028A2A11" w14:textId="77777777" w:rsidR="00FA3151" w:rsidRPr="00FA3151" w:rsidRDefault="00FA3151" w:rsidP="00FA3151">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Članak 9.</w:t>
      </w:r>
    </w:p>
    <w:p w14:paraId="097C870D" w14:textId="77777777" w:rsidR="00FA3151" w:rsidRPr="00FA3151" w:rsidRDefault="00FA3151" w:rsidP="00FA3151">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0955AC09"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Komunikacija između strana se obavlja u skladu s Općim uvjetima Ugovora, na sljedeće adrese: </w:t>
      </w:r>
    </w:p>
    <w:p w14:paraId="36B5831E"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6C73E6C6" w14:textId="77777777" w:rsidR="00FA3151" w:rsidRPr="00FA3151" w:rsidRDefault="00FA3151" w:rsidP="00FA3151">
      <w:pPr>
        <w:spacing w:after="0" w:line="240" w:lineRule="auto"/>
        <w:ind w:left="567"/>
        <w:jc w:val="both"/>
        <w:rPr>
          <w:rFonts w:ascii="Times New Roman" w:eastAsia="Times New Roman" w:hAnsi="Times New Roman" w:cs="Times New Roman"/>
          <w:b/>
          <w:sz w:val="24"/>
          <w:szCs w:val="24"/>
        </w:rPr>
      </w:pPr>
    </w:p>
    <w:p w14:paraId="35691AD0" w14:textId="77777777" w:rsidR="00FA3151" w:rsidRPr="00FA3151" w:rsidRDefault="00FA3151" w:rsidP="00FA3151">
      <w:pPr>
        <w:spacing w:after="0" w:line="240" w:lineRule="auto"/>
        <w:ind w:left="567"/>
        <w:jc w:val="both"/>
        <w:outlineLvl w:val="0"/>
        <w:rPr>
          <w:rFonts w:ascii="Times New Roman" w:eastAsia="Times New Roman" w:hAnsi="Times New Roman" w:cs="Times New Roman"/>
          <w:sz w:val="24"/>
          <w:szCs w:val="24"/>
          <w:u w:val="single"/>
        </w:rPr>
      </w:pPr>
      <w:r w:rsidRPr="00FA3151">
        <w:rPr>
          <w:rFonts w:ascii="Times New Roman" w:eastAsia="Times New Roman" w:hAnsi="Times New Roman" w:cs="Times New Roman"/>
          <w:sz w:val="24"/>
          <w:szCs w:val="24"/>
          <w:u w:val="single"/>
        </w:rPr>
        <w:t>Za TOPFD</w:t>
      </w:r>
    </w:p>
    <w:p w14:paraId="1C367229" w14:textId="77777777" w:rsidR="00FA3151" w:rsidRPr="00FA3151" w:rsidRDefault="00FA3151" w:rsidP="00FA3151">
      <w:pPr>
        <w:spacing w:after="0" w:line="240" w:lineRule="auto"/>
        <w:ind w:left="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&lt;</w:t>
      </w:r>
      <w:r w:rsidRPr="00FA3151">
        <w:rPr>
          <w:rFonts w:ascii="Times New Roman" w:eastAsia="Times New Roman" w:hAnsi="Times New Roman" w:cs="Times New Roman"/>
          <w:i/>
          <w:sz w:val="24"/>
          <w:szCs w:val="24"/>
        </w:rPr>
        <w:t xml:space="preserve"> adresa, adresa elektroničke pošte organizacijske &gt;</w:t>
      </w:r>
      <w:r w:rsidRPr="00FA3151">
        <w:rPr>
          <w:rFonts w:ascii="Times New Roman" w:eastAsia="Times New Roman" w:hAnsi="Times New Roman" w:cs="Times New Roman"/>
          <w:sz w:val="24"/>
          <w:szCs w:val="24"/>
        </w:rPr>
        <w:t xml:space="preserve">]. </w:t>
      </w:r>
    </w:p>
    <w:p w14:paraId="6FC64524" w14:textId="77777777" w:rsidR="00FA3151" w:rsidRPr="00FA3151" w:rsidRDefault="00FA3151" w:rsidP="00FA3151">
      <w:pPr>
        <w:spacing w:after="0" w:line="240" w:lineRule="auto"/>
        <w:ind w:left="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TOPFD pisanim putem dostavlja Korisniku o podatke o osobi i adresi elektronske pošte za kontakt.  </w:t>
      </w:r>
    </w:p>
    <w:p w14:paraId="24576367" w14:textId="77777777" w:rsidR="00FA3151" w:rsidRPr="00FA3151" w:rsidRDefault="00FA3151" w:rsidP="00FA3151">
      <w:pPr>
        <w:spacing w:after="0" w:line="240" w:lineRule="auto"/>
        <w:ind w:left="567"/>
        <w:jc w:val="both"/>
        <w:rPr>
          <w:rFonts w:ascii="Times New Roman" w:eastAsia="Times New Roman" w:hAnsi="Times New Roman" w:cs="Times New Roman"/>
          <w:sz w:val="24"/>
          <w:szCs w:val="24"/>
        </w:rPr>
      </w:pPr>
    </w:p>
    <w:p w14:paraId="478D1A7E" w14:textId="77777777" w:rsidR="00FA3151" w:rsidRPr="00FA3151" w:rsidRDefault="00FA3151" w:rsidP="00FA3151">
      <w:pPr>
        <w:spacing w:after="0" w:line="240" w:lineRule="auto"/>
        <w:ind w:left="567"/>
        <w:jc w:val="both"/>
        <w:rPr>
          <w:rFonts w:ascii="Times New Roman" w:eastAsia="Times New Roman" w:hAnsi="Times New Roman" w:cs="Times New Roman"/>
          <w:sz w:val="24"/>
          <w:szCs w:val="24"/>
        </w:rPr>
      </w:pPr>
    </w:p>
    <w:p w14:paraId="0B3E36D5" w14:textId="77777777" w:rsidR="00FA3151" w:rsidRPr="00FA3151" w:rsidRDefault="00FA3151" w:rsidP="00FA3151">
      <w:pPr>
        <w:spacing w:after="0" w:line="240" w:lineRule="auto"/>
        <w:ind w:left="567"/>
        <w:jc w:val="both"/>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u w:val="single"/>
        </w:rPr>
        <w:t>Za Korisnika</w:t>
      </w:r>
    </w:p>
    <w:p w14:paraId="6CCA41CC" w14:textId="77777777" w:rsidR="00FA3151" w:rsidRPr="00FA3151" w:rsidRDefault="00FA3151" w:rsidP="00FA3151">
      <w:pPr>
        <w:spacing w:after="0" w:line="240" w:lineRule="auto"/>
        <w:ind w:left="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&lt; </w:t>
      </w:r>
      <w:r w:rsidRPr="00FA3151">
        <w:rPr>
          <w:rFonts w:ascii="Times New Roman" w:eastAsia="Times New Roman" w:hAnsi="Times New Roman" w:cs="Times New Roman"/>
          <w:i/>
          <w:sz w:val="24"/>
          <w:szCs w:val="24"/>
        </w:rPr>
        <w:t xml:space="preserve">adresa, adresa elektroničke pošte Korisnika </w:t>
      </w:r>
      <w:r w:rsidRPr="00FA3151">
        <w:rPr>
          <w:rFonts w:ascii="Times New Roman" w:eastAsia="Times New Roman" w:hAnsi="Times New Roman" w:cs="Times New Roman"/>
          <w:sz w:val="24"/>
          <w:szCs w:val="24"/>
        </w:rPr>
        <w:t>&gt;</w:t>
      </w:r>
    </w:p>
    <w:p w14:paraId="264B26B2" w14:textId="77777777" w:rsidR="00FA3151" w:rsidRPr="00FA3151" w:rsidRDefault="00FA3151" w:rsidP="00FA3151">
      <w:pPr>
        <w:spacing w:after="0" w:line="240" w:lineRule="auto"/>
        <w:ind w:left="567"/>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Korisnik pisanim putem dostavlja TOPFD-u podatke o osobi i adresi elektroničke pošte za kontakt.  </w:t>
      </w:r>
    </w:p>
    <w:p w14:paraId="2C18509C" w14:textId="77777777" w:rsidR="00FA3151" w:rsidRPr="00FA3151" w:rsidRDefault="00FA3151" w:rsidP="00FA3151">
      <w:pPr>
        <w:spacing w:after="0" w:line="240" w:lineRule="auto"/>
        <w:ind w:left="567"/>
        <w:jc w:val="both"/>
        <w:rPr>
          <w:rFonts w:ascii="Times New Roman" w:eastAsia="Times New Roman" w:hAnsi="Times New Roman" w:cs="Times New Roman"/>
          <w:sz w:val="24"/>
          <w:szCs w:val="24"/>
        </w:rPr>
      </w:pPr>
    </w:p>
    <w:p w14:paraId="3BD93143"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1643A0D9"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3B7E5F94" w14:textId="77777777" w:rsidR="00FA3151" w:rsidRPr="00FA3151" w:rsidRDefault="00FA3151" w:rsidP="00FA3151">
      <w:pPr>
        <w:spacing w:after="0" w:line="240" w:lineRule="auto"/>
        <w:ind w:left="567"/>
        <w:jc w:val="both"/>
        <w:rPr>
          <w:rFonts w:ascii="Times New Roman" w:eastAsia="Times New Roman" w:hAnsi="Times New Roman" w:cs="Times New Roman"/>
          <w:sz w:val="24"/>
          <w:szCs w:val="24"/>
        </w:rPr>
      </w:pPr>
    </w:p>
    <w:p w14:paraId="7A2573D3" w14:textId="77777777" w:rsidR="00FA3151" w:rsidRPr="00FA3151" w:rsidRDefault="00FA3151" w:rsidP="00FA3151">
      <w:pPr>
        <w:keepNext/>
        <w:spacing w:after="0" w:line="240" w:lineRule="auto"/>
        <w:ind w:left="567" w:hanging="567"/>
        <w:jc w:val="center"/>
        <w:outlineLvl w:val="0"/>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Odredbe o mjerodavnom pravu i rješavanju sporova proizašlih iz Ugovora</w:t>
      </w:r>
    </w:p>
    <w:p w14:paraId="09D9554D" w14:textId="77777777" w:rsidR="00FA3151" w:rsidRPr="00FA3151" w:rsidRDefault="00FA3151" w:rsidP="00FA3151">
      <w:pPr>
        <w:keepNext/>
        <w:spacing w:after="0" w:line="240" w:lineRule="auto"/>
        <w:ind w:left="567" w:hanging="567"/>
        <w:jc w:val="center"/>
        <w:outlineLvl w:val="0"/>
        <w:rPr>
          <w:rFonts w:ascii="Times New Roman" w:eastAsia="Times New Roman" w:hAnsi="Times New Roman" w:cs="Times New Roman"/>
          <w:i/>
          <w:sz w:val="24"/>
          <w:szCs w:val="24"/>
        </w:rPr>
      </w:pPr>
    </w:p>
    <w:p w14:paraId="71AA10F5" w14:textId="77777777" w:rsidR="00FA3151" w:rsidRPr="00FA3151" w:rsidRDefault="00FA3151" w:rsidP="00FA3151">
      <w:pPr>
        <w:keepNext/>
        <w:spacing w:after="0" w:line="240" w:lineRule="auto"/>
        <w:ind w:left="567" w:hanging="567"/>
        <w:jc w:val="center"/>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Članak 10. </w:t>
      </w:r>
    </w:p>
    <w:p w14:paraId="24598ABB" w14:textId="77777777" w:rsidR="00FA3151" w:rsidRPr="00FA3151" w:rsidRDefault="00FA3151" w:rsidP="00FA3151">
      <w:pPr>
        <w:keepNext/>
        <w:spacing w:after="0" w:line="240" w:lineRule="auto"/>
        <w:ind w:left="567" w:hanging="567"/>
        <w:jc w:val="both"/>
        <w:outlineLvl w:val="0"/>
        <w:rPr>
          <w:rFonts w:ascii="Times New Roman" w:eastAsia="Times New Roman" w:hAnsi="Times New Roman" w:cs="Times New Roman"/>
          <w:b/>
          <w:sz w:val="24"/>
          <w:szCs w:val="24"/>
        </w:rPr>
      </w:pPr>
    </w:p>
    <w:p w14:paraId="1A2BE800"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Na rješavanje mogućih međusobnih sporova proizašlih iz tumačenja ili primjene ovog Ugovora, primjenjuje se članak 27. Općih uvjeta.</w:t>
      </w:r>
    </w:p>
    <w:p w14:paraId="21700718"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61CCD4F2" w14:textId="77777777" w:rsidR="00FA3151" w:rsidRPr="00FA3151" w:rsidRDefault="00FA3151" w:rsidP="00FA3151">
      <w:pPr>
        <w:keepNext/>
        <w:spacing w:after="0" w:line="240" w:lineRule="auto"/>
        <w:ind w:left="567" w:hanging="567"/>
        <w:jc w:val="both"/>
        <w:outlineLvl w:val="0"/>
        <w:rPr>
          <w:rFonts w:ascii="Times New Roman" w:eastAsia="Times New Roman" w:hAnsi="Times New Roman" w:cs="Times New Roman"/>
          <w:sz w:val="24"/>
          <w:szCs w:val="24"/>
        </w:rPr>
      </w:pPr>
    </w:p>
    <w:p w14:paraId="0A122EB8" w14:textId="77777777" w:rsidR="00FA3151" w:rsidRPr="00FA3151" w:rsidRDefault="00FA3151" w:rsidP="00FA3151">
      <w:pPr>
        <w:keepNext/>
        <w:spacing w:after="0" w:line="240" w:lineRule="auto"/>
        <w:ind w:left="567" w:hanging="567"/>
        <w:jc w:val="both"/>
        <w:outlineLvl w:val="0"/>
        <w:rPr>
          <w:rFonts w:ascii="Times New Roman" w:eastAsia="Times New Roman" w:hAnsi="Times New Roman" w:cs="Times New Roman"/>
          <w:sz w:val="24"/>
          <w:szCs w:val="24"/>
        </w:rPr>
      </w:pPr>
    </w:p>
    <w:p w14:paraId="76970469" w14:textId="77777777" w:rsidR="00FA3151" w:rsidRPr="00FA3151" w:rsidRDefault="00FA3151" w:rsidP="00FA3151">
      <w:pPr>
        <w:keepNext/>
        <w:spacing w:after="0" w:line="240" w:lineRule="auto"/>
        <w:ind w:left="567" w:hanging="567"/>
        <w:jc w:val="center"/>
        <w:outlineLvl w:val="0"/>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Prilozi</w:t>
      </w:r>
    </w:p>
    <w:p w14:paraId="1A91197F" w14:textId="77777777" w:rsidR="00FA3151" w:rsidRPr="00FA3151" w:rsidRDefault="00FA3151" w:rsidP="00FA3151">
      <w:pPr>
        <w:keepNext/>
        <w:spacing w:after="0" w:line="240" w:lineRule="auto"/>
        <w:outlineLvl w:val="0"/>
        <w:rPr>
          <w:rFonts w:ascii="Times New Roman" w:eastAsia="Times New Roman" w:hAnsi="Times New Roman" w:cs="Times New Roman"/>
          <w:i/>
          <w:sz w:val="24"/>
          <w:szCs w:val="24"/>
        </w:rPr>
      </w:pPr>
    </w:p>
    <w:p w14:paraId="4B8BDF99" w14:textId="77777777" w:rsidR="00FA3151" w:rsidRPr="00FA3151" w:rsidRDefault="00FA3151" w:rsidP="00FA3151">
      <w:pPr>
        <w:keepNext/>
        <w:spacing w:after="0" w:line="240" w:lineRule="auto"/>
        <w:ind w:left="567" w:hanging="567"/>
        <w:jc w:val="center"/>
        <w:outlineLvl w:val="0"/>
        <w:rPr>
          <w:rFonts w:ascii="Times New Roman" w:eastAsia="Times New Roman" w:hAnsi="Times New Roman" w:cs="Times New Roman"/>
          <w:i/>
          <w:sz w:val="24"/>
          <w:szCs w:val="24"/>
        </w:rPr>
      </w:pPr>
      <w:r w:rsidRPr="00FA3151">
        <w:rPr>
          <w:rFonts w:ascii="Times New Roman" w:eastAsia="Times New Roman" w:hAnsi="Times New Roman" w:cs="Times New Roman"/>
          <w:sz w:val="24"/>
          <w:szCs w:val="24"/>
        </w:rPr>
        <w:t xml:space="preserve">Članak 11. </w:t>
      </w:r>
    </w:p>
    <w:p w14:paraId="500DCED7" w14:textId="77777777" w:rsidR="00FA3151" w:rsidRPr="00FA3151" w:rsidRDefault="00FA3151" w:rsidP="00FA3151">
      <w:pPr>
        <w:spacing w:after="0" w:line="240" w:lineRule="auto"/>
        <w:ind w:left="567" w:hanging="567"/>
        <w:jc w:val="both"/>
        <w:rPr>
          <w:rFonts w:ascii="Times New Roman" w:eastAsia="Times New Roman" w:hAnsi="Times New Roman" w:cs="Times New Roman"/>
          <w:sz w:val="24"/>
          <w:szCs w:val="24"/>
        </w:rPr>
      </w:pPr>
    </w:p>
    <w:p w14:paraId="3CC4FB47"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Sljedeći prilozi sastavni su dio Ugovora, te Strane ovim putem potvrđuju da su ih razumjele te da ih potpisom Ugovora prihvaćaju: </w:t>
      </w:r>
    </w:p>
    <w:p w14:paraId="6BE89F38"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56310BAC"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Prilog I: </w:t>
      </w:r>
      <w:r w:rsidRPr="00FA3151">
        <w:rPr>
          <w:rFonts w:ascii="Times New Roman" w:eastAsia="Times New Roman" w:hAnsi="Times New Roman" w:cs="Times New Roman"/>
          <w:strike/>
          <w:sz w:val="24"/>
          <w:szCs w:val="24"/>
        </w:rPr>
        <w:t>Ugovor o dodjeli bespovratnih financijskih sredstava za operacije koje se financiraju iz Fonda solidarnosti Europske unije</w:t>
      </w:r>
      <w:r w:rsidRPr="00FA3151">
        <w:rPr>
          <w:rFonts w:ascii="Times New Roman" w:eastAsia="Times New Roman" w:hAnsi="Times New Roman" w:cs="Times New Roman"/>
          <w:sz w:val="24"/>
          <w:szCs w:val="24"/>
        </w:rPr>
        <w:t xml:space="preserve"> </w:t>
      </w:r>
      <w:r w:rsidRPr="00FA3151">
        <w:rPr>
          <w:rFonts w:ascii="Times New Roman" w:eastAsia="Times New Roman" w:hAnsi="Times New Roman" w:cs="Times New Roman"/>
          <w:sz w:val="24"/>
          <w:szCs w:val="24"/>
          <w:highlight w:val="yellow"/>
        </w:rPr>
        <w:t>Opis i Proračun Operacije</w:t>
      </w:r>
    </w:p>
    <w:p w14:paraId="3299A7B7"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Prilog II: Opći uvjeti Ugovora</w:t>
      </w:r>
    </w:p>
    <w:p w14:paraId="4BC3F657"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Prilog III: Pravila o provedbi postupaka nabava za </w:t>
      </w:r>
      <w:proofErr w:type="spellStart"/>
      <w:r w:rsidRPr="00FA3151">
        <w:rPr>
          <w:rFonts w:ascii="Times New Roman" w:eastAsia="Times New Roman" w:hAnsi="Times New Roman" w:cs="Times New Roman"/>
          <w:sz w:val="24"/>
          <w:szCs w:val="24"/>
        </w:rPr>
        <w:t>neobveznike</w:t>
      </w:r>
      <w:proofErr w:type="spellEnd"/>
      <w:r w:rsidRPr="00FA3151">
        <w:rPr>
          <w:rFonts w:ascii="Times New Roman" w:eastAsia="Times New Roman" w:hAnsi="Times New Roman" w:cs="Times New Roman"/>
          <w:sz w:val="24"/>
          <w:szCs w:val="24"/>
        </w:rPr>
        <w:t xml:space="preserve"> Zakona o javnoj nabavi </w:t>
      </w:r>
    </w:p>
    <w:p w14:paraId="37CE3FCC"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Prilog IV: PRILOG ODLUCI KOMISIJE od 14.5.2019. o utvrđivanju smjernica za određivanje financijskih ispravaka koje u slučaju nepoštovanja primjenjivih pravila o javnoj nabavi Komisija primjenjuje na rashode koje financira Unija </w:t>
      </w:r>
    </w:p>
    <w:p w14:paraId="7E7246ED"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Prilog V: Zahtjev za nadoknadom sredstava</w:t>
      </w:r>
    </w:p>
    <w:p w14:paraId="0117FFCB"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Prilog VI: Završno izvješće</w:t>
      </w:r>
    </w:p>
    <w:p w14:paraId="10BCAE72"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317CF886" w14:textId="77777777" w:rsidR="00FA3151" w:rsidRPr="00FA3151" w:rsidRDefault="00FA3151" w:rsidP="00FA3151">
      <w:pPr>
        <w:spacing w:after="0" w:line="240" w:lineRule="auto"/>
        <w:jc w:val="center"/>
        <w:rPr>
          <w:rFonts w:ascii="Times New Roman" w:eastAsia="Times New Roman" w:hAnsi="Times New Roman" w:cs="Times New Roman"/>
          <w:i/>
          <w:sz w:val="24"/>
          <w:szCs w:val="24"/>
        </w:rPr>
      </w:pPr>
    </w:p>
    <w:p w14:paraId="2256F8FF" w14:textId="77777777" w:rsidR="00FA3151" w:rsidRPr="00FA3151" w:rsidRDefault="00FA3151" w:rsidP="00FA3151">
      <w:pPr>
        <w:spacing w:after="0" w:line="240" w:lineRule="auto"/>
        <w:jc w:val="center"/>
        <w:rPr>
          <w:rFonts w:ascii="Times New Roman" w:eastAsia="Times New Roman" w:hAnsi="Times New Roman" w:cs="Times New Roman"/>
          <w:i/>
          <w:sz w:val="24"/>
          <w:szCs w:val="24"/>
        </w:rPr>
      </w:pPr>
    </w:p>
    <w:p w14:paraId="7D9B1554" w14:textId="77777777" w:rsidR="00FA3151" w:rsidRPr="00FA3151" w:rsidRDefault="00FA3151" w:rsidP="00FA3151">
      <w:pPr>
        <w:spacing w:after="0" w:line="240" w:lineRule="auto"/>
        <w:jc w:val="center"/>
        <w:rPr>
          <w:rFonts w:ascii="Times New Roman" w:eastAsia="Times New Roman" w:hAnsi="Times New Roman" w:cs="Times New Roman"/>
          <w:i/>
          <w:sz w:val="24"/>
          <w:szCs w:val="24"/>
        </w:rPr>
      </w:pPr>
    </w:p>
    <w:p w14:paraId="418E3309" w14:textId="77777777" w:rsidR="00FA3151" w:rsidRPr="00FA3151" w:rsidRDefault="00FA3151" w:rsidP="00FA3151">
      <w:pPr>
        <w:spacing w:after="0" w:line="240" w:lineRule="auto"/>
        <w:jc w:val="center"/>
        <w:rPr>
          <w:rFonts w:ascii="Times New Roman" w:eastAsia="Times New Roman" w:hAnsi="Times New Roman" w:cs="Times New Roman"/>
          <w:i/>
          <w:sz w:val="24"/>
          <w:szCs w:val="24"/>
        </w:rPr>
      </w:pPr>
      <w:r w:rsidRPr="00FA3151">
        <w:rPr>
          <w:rFonts w:ascii="Times New Roman" w:eastAsia="Times New Roman" w:hAnsi="Times New Roman" w:cs="Times New Roman"/>
          <w:i/>
          <w:sz w:val="24"/>
          <w:szCs w:val="24"/>
        </w:rPr>
        <w:t>Završne odredbe</w:t>
      </w:r>
    </w:p>
    <w:p w14:paraId="0748B7B7"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0BBC99FC" w14:textId="77777777" w:rsidR="00FA3151" w:rsidRPr="00FA3151" w:rsidRDefault="00FA3151" w:rsidP="00FA3151">
      <w:pPr>
        <w:spacing w:after="0" w:line="240" w:lineRule="auto"/>
        <w:jc w:val="center"/>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Članak 12.</w:t>
      </w:r>
    </w:p>
    <w:p w14:paraId="5D6C1C5B" w14:textId="77777777" w:rsidR="00FA3151" w:rsidRPr="00FA3151" w:rsidRDefault="00FA3151" w:rsidP="00FA3151">
      <w:pPr>
        <w:spacing w:after="0" w:line="240" w:lineRule="auto"/>
        <w:rPr>
          <w:rFonts w:ascii="Times New Roman" w:eastAsia="Times New Roman" w:hAnsi="Times New Roman" w:cs="Times New Roman"/>
          <w:b/>
          <w:sz w:val="24"/>
          <w:szCs w:val="24"/>
        </w:rPr>
      </w:pPr>
    </w:p>
    <w:p w14:paraId="1788B7A9" w14:textId="77777777" w:rsidR="00FA3151" w:rsidRPr="00FA3151" w:rsidRDefault="00FA3151" w:rsidP="00FA3151">
      <w:pPr>
        <w:spacing w:after="200" w:line="276"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Ovaj Ugovor sačinjen je u dva  (2) istovjetna primjerka, svaki sa snagom izvornika, od kojih svaka Strana zadržava po jedan primjerak.</w:t>
      </w:r>
    </w:p>
    <w:p w14:paraId="72FA97BF" w14:textId="77777777" w:rsidR="00FA3151" w:rsidRPr="00FA3151" w:rsidRDefault="00FA3151" w:rsidP="00FA3151">
      <w:pPr>
        <w:spacing w:after="200" w:line="276" w:lineRule="auto"/>
        <w:jc w:val="both"/>
        <w:rPr>
          <w:rFonts w:ascii="Times New Roman" w:eastAsia="Times New Roman" w:hAnsi="Times New Roman" w:cs="Times New Roman"/>
          <w:sz w:val="24"/>
          <w:szCs w:val="24"/>
        </w:rPr>
      </w:pPr>
    </w:p>
    <w:p w14:paraId="129C73EC"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p w14:paraId="1717F031" w14:textId="77777777" w:rsidR="00FA3151" w:rsidRPr="00FA3151" w:rsidRDefault="00FA3151" w:rsidP="00FA3151">
      <w:pPr>
        <w:spacing w:after="0" w:line="240" w:lineRule="auto"/>
        <w:jc w:val="both"/>
        <w:rPr>
          <w:rFonts w:ascii="Times New Roman" w:eastAsia="Times New Roman" w:hAnsi="Times New Roman" w:cs="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FA3151" w:rsidRPr="00FA3151" w14:paraId="4674E58A" w14:textId="77777777" w:rsidTr="00643551">
        <w:trPr>
          <w:jc w:val="center"/>
        </w:trPr>
        <w:tc>
          <w:tcPr>
            <w:tcW w:w="4643" w:type="dxa"/>
            <w:gridSpan w:val="2"/>
            <w:tcBorders>
              <w:top w:val="nil"/>
              <w:left w:val="nil"/>
              <w:bottom w:val="nil"/>
              <w:right w:val="nil"/>
            </w:tcBorders>
          </w:tcPr>
          <w:p w14:paraId="0C6637E9" w14:textId="77777777" w:rsidR="00FA3151" w:rsidRPr="00FA3151" w:rsidRDefault="00FA3151" w:rsidP="00FA3151">
            <w:pPr>
              <w:spacing w:after="0" w:line="240" w:lineRule="auto"/>
              <w:rPr>
                <w:rFonts w:ascii="Times New Roman" w:eastAsia="Times New Roman" w:hAnsi="Times New Roman" w:cs="Times New Roman"/>
                <w:b/>
                <w:sz w:val="24"/>
                <w:szCs w:val="24"/>
              </w:rPr>
            </w:pPr>
            <w:r w:rsidRPr="00FA3151">
              <w:rPr>
                <w:rFonts w:ascii="Times New Roman" w:eastAsia="Times New Roman" w:hAnsi="Times New Roman" w:cs="Times New Roman"/>
                <w:b/>
                <w:sz w:val="24"/>
                <w:szCs w:val="24"/>
              </w:rPr>
              <w:t>Za TOPFD</w:t>
            </w:r>
          </w:p>
        </w:tc>
        <w:tc>
          <w:tcPr>
            <w:tcW w:w="4643" w:type="dxa"/>
            <w:gridSpan w:val="2"/>
            <w:tcBorders>
              <w:top w:val="nil"/>
              <w:left w:val="nil"/>
              <w:bottom w:val="nil"/>
              <w:right w:val="nil"/>
            </w:tcBorders>
          </w:tcPr>
          <w:p w14:paraId="487B8A49" w14:textId="77777777" w:rsidR="00FA3151" w:rsidRPr="00FA3151" w:rsidRDefault="00FA3151" w:rsidP="00FA3151">
            <w:pPr>
              <w:spacing w:after="0" w:line="240" w:lineRule="auto"/>
              <w:rPr>
                <w:rFonts w:ascii="Times New Roman" w:eastAsia="Times New Roman" w:hAnsi="Times New Roman" w:cs="Times New Roman"/>
                <w:b/>
                <w:sz w:val="24"/>
                <w:szCs w:val="24"/>
              </w:rPr>
            </w:pPr>
            <w:r w:rsidRPr="00FA3151">
              <w:rPr>
                <w:rFonts w:ascii="Times New Roman" w:eastAsia="Times New Roman" w:hAnsi="Times New Roman" w:cs="Times New Roman"/>
                <w:b/>
                <w:sz w:val="24"/>
                <w:szCs w:val="24"/>
              </w:rPr>
              <w:t xml:space="preserve">Za Korisnika </w:t>
            </w:r>
          </w:p>
        </w:tc>
      </w:tr>
      <w:tr w:rsidR="00FA3151" w:rsidRPr="00FA3151" w14:paraId="3B5F6D90" w14:textId="77777777" w:rsidTr="00643551">
        <w:trPr>
          <w:jc w:val="center"/>
        </w:trPr>
        <w:tc>
          <w:tcPr>
            <w:tcW w:w="1950" w:type="dxa"/>
            <w:tcBorders>
              <w:top w:val="nil"/>
              <w:left w:val="nil"/>
              <w:bottom w:val="nil"/>
              <w:right w:val="nil"/>
            </w:tcBorders>
          </w:tcPr>
          <w:p w14:paraId="0D96C2DE" w14:textId="77777777" w:rsidR="00FA3151" w:rsidRPr="00FA3151" w:rsidRDefault="00FA3151" w:rsidP="00FA3151">
            <w:pPr>
              <w:spacing w:after="0" w:line="240" w:lineRule="auto"/>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Ime</w:t>
            </w:r>
          </w:p>
        </w:tc>
        <w:tc>
          <w:tcPr>
            <w:tcW w:w="2693" w:type="dxa"/>
            <w:tcBorders>
              <w:top w:val="nil"/>
              <w:left w:val="nil"/>
              <w:bottom w:val="nil"/>
              <w:right w:val="nil"/>
            </w:tcBorders>
          </w:tcPr>
          <w:p w14:paraId="6BBE690E"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02D136F3" w14:textId="77777777" w:rsidR="00FA3151" w:rsidRPr="00FA3151" w:rsidRDefault="00FA3151" w:rsidP="00FA3151">
            <w:pPr>
              <w:spacing w:after="0" w:line="240" w:lineRule="auto"/>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Ime</w:t>
            </w:r>
          </w:p>
        </w:tc>
        <w:tc>
          <w:tcPr>
            <w:tcW w:w="2322" w:type="dxa"/>
            <w:tcBorders>
              <w:top w:val="nil"/>
              <w:left w:val="nil"/>
              <w:bottom w:val="nil"/>
              <w:right w:val="nil"/>
            </w:tcBorders>
          </w:tcPr>
          <w:p w14:paraId="2F35BB4E" w14:textId="77777777" w:rsidR="00FA3151" w:rsidRPr="00FA3151" w:rsidRDefault="00FA3151" w:rsidP="00FA3151">
            <w:pPr>
              <w:spacing w:after="0" w:line="240" w:lineRule="auto"/>
              <w:rPr>
                <w:rFonts w:ascii="Times New Roman" w:eastAsia="Times New Roman" w:hAnsi="Times New Roman" w:cs="Times New Roman"/>
                <w:sz w:val="24"/>
                <w:szCs w:val="24"/>
              </w:rPr>
            </w:pPr>
          </w:p>
        </w:tc>
      </w:tr>
      <w:tr w:rsidR="00FA3151" w:rsidRPr="00FA3151" w14:paraId="5849F372" w14:textId="77777777" w:rsidTr="00643551">
        <w:trPr>
          <w:jc w:val="center"/>
        </w:trPr>
        <w:tc>
          <w:tcPr>
            <w:tcW w:w="1950" w:type="dxa"/>
            <w:tcBorders>
              <w:top w:val="nil"/>
              <w:left w:val="nil"/>
              <w:bottom w:val="nil"/>
              <w:right w:val="nil"/>
            </w:tcBorders>
          </w:tcPr>
          <w:p w14:paraId="56FB1011" w14:textId="77777777" w:rsidR="00FA3151" w:rsidRPr="00FA3151" w:rsidRDefault="00FA3151" w:rsidP="00FA3151">
            <w:pPr>
              <w:spacing w:after="0" w:line="240" w:lineRule="auto"/>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Funkcija</w:t>
            </w:r>
          </w:p>
        </w:tc>
        <w:tc>
          <w:tcPr>
            <w:tcW w:w="2693" w:type="dxa"/>
            <w:tcBorders>
              <w:top w:val="nil"/>
              <w:left w:val="nil"/>
              <w:bottom w:val="nil"/>
              <w:right w:val="nil"/>
            </w:tcBorders>
          </w:tcPr>
          <w:p w14:paraId="78A44572"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51092E7C" w14:textId="77777777" w:rsidR="00FA3151" w:rsidRPr="00FA3151" w:rsidRDefault="00FA3151" w:rsidP="00FA3151">
            <w:pPr>
              <w:spacing w:after="0" w:line="240" w:lineRule="auto"/>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Funkcija</w:t>
            </w:r>
          </w:p>
        </w:tc>
        <w:tc>
          <w:tcPr>
            <w:tcW w:w="2322" w:type="dxa"/>
            <w:tcBorders>
              <w:top w:val="nil"/>
              <w:left w:val="nil"/>
              <w:bottom w:val="nil"/>
              <w:right w:val="nil"/>
            </w:tcBorders>
          </w:tcPr>
          <w:p w14:paraId="68491F7D" w14:textId="77777777" w:rsidR="00FA3151" w:rsidRPr="00FA3151" w:rsidRDefault="00FA3151" w:rsidP="00FA3151">
            <w:pPr>
              <w:spacing w:after="0" w:line="240" w:lineRule="auto"/>
              <w:rPr>
                <w:rFonts w:ascii="Times New Roman" w:eastAsia="Times New Roman" w:hAnsi="Times New Roman" w:cs="Times New Roman"/>
                <w:sz w:val="24"/>
                <w:szCs w:val="24"/>
              </w:rPr>
            </w:pPr>
          </w:p>
        </w:tc>
      </w:tr>
      <w:tr w:rsidR="00FA3151" w:rsidRPr="00FA3151" w14:paraId="3909074B" w14:textId="77777777" w:rsidTr="00643551">
        <w:trPr>
          <w:jc w:val="center"/>
        </w:trPr>
        <w:tc>
          <w:tcPr>
            <w:tcW w:w="1950" w:type="dxa"/>
            <w:tcBorders>
              <w:top w:val="nil"/>
              <w:left w:val="nil"/>
              <w:bottom w:val="nil"/>
              <w:right w:val="nil"/>
            </w:tcBorders>
          </w:tcPr>
          <w:p w14:paraId="280D51FA" w14:textId="77777777" w:rsidR="00FA3151" w:rsidRPr="00FA3151" w:rsidRDefault="00FA3151" w:rsidP="00FA3151">
            <w:pPr>
              <w:spacing w:after="0" w:line="240" w:lineRule="auto"/>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Potpis </w:t>
            </w:r>
          </w:p>
        </w:tc>
        <w:tc>
          <w:tcPr>
            <w:tcW w:w="2693" w:type="dxa"/>
            <w:tcBorders>
              <w:top w:val="nil"/>
              <w:left w:val="nil"/>
              <w:bottom w:val="nil"/>
              <w:right w:val="nil"/>
            </w:tcBorders>
          </w:tcPr>
          <w:p w14:paraId="220EBD70"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2A862E75" w14:textId="77777777" w:rsidR="00FA3151" w:rsidRPr="00FA3151" w:rsidRDefault="00FA3151" w:rsidP="00FA3151">
            <w:pPr>
              <w:spacing w:after="0" w:line="240" w:lineRule="auto"/>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Potpis </w:t>
            </w:r>
          </w:p>
        </w:tc>
        <w:tc>
          <w:tcPr>
            <w:tcW w:w="2322" w:type="dxa"/>
            <w:tcBorders>
              <w:top w:val="nil"/>
              <w:left w:val="nil"/>
              <w:bottom w:val="nil"/>
              <w:right w:val="nil"/>
            </w:tcBorders>
          </w:tcPr>
          <w:p w14:paraId="78B0FDE4" w14:textId="77777777" w:rsidR="00FA3151" w:rsidRPr="00FA3151" w:rsidRDefault="00FA3151" w:rsidP="00FA3151">
            <w:pPr>
              <w:spacing w:after="0" w:line="240" w:lineRule="auto"/>
              <w:rPr>
                <w:rFonts w:ascii="Times New Roman" w:eastAsia="Times New Roman" w:hAnsi="Times New Roman" w:cs="Times New Roman"/>
                <w:sz w:val="24"/>
                <w:szCs w:val="24"/>
              </w:rPr>
            </w:pPr>
          </w:p>
        </w:tc>
      </w:tr>
      <w:tr w:rsidR="00FA3151" w:rsidRPr="00FA3151" w14:paraId="6DA1C9AF" w14:textId="77777777" w:rsidTr="00643551">
        <w:trPr>
          <w:jc w:val="center"/>
        </w:trPr>
        <w:tc>
          <w:tcPr>
            <w:tcW w:w="1950" w:type="dxa"/>
            <w:tcBorders>
              <w:top w:val="nil"/>
              <w:left w:val="nil"/>
              <w:bottom w:val="nil"/>
              <w:right w:val="nil"/>
            </w:tcBorders>
          </w:tcPr>
          <w:p w14:paraId="2A699EA4" w14:textId="77777777" w:rsidR="00FA3151" w:rsidRPr="00FA3151" w:rsidRDefault="00FA3151" w:rsidP="00FA3151">
            <w:pPr>
              <w:spacing w:after="0" w:line="240" w:lineRule="auto"/>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Datum</w:t>
            </w:r>
          </w:p>
        </w:tc>
        <w:tc>
          <w:tcPr>
            <w:tcW w:w="2693" w:type="dxa"/>
            <w:tcBorders>
              <w:top w:val="nil"/>
              <w:left w:val="nil"/>
              <w:bottom w:val="nil"/>
              <w:right w:val="nil"/>
            </w:tcBorders>
          </w:tcPr>
          <w:p w14:paraId="30F7BD9D"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2B32072E" w14:textId="77777777" w:rsidR="00FA3151" w:rsidRPr="00FA3151" w:rsidRDefault="00FA3151" w:rsidP="00FA3151">
            <w:pPr>
              <w:spacing w:after="0" w:line="240" w:lineRule="auto"/>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Datum</w:t>
            </w:r>
          </w:p>
        </w:tc>
        <w:tc>
          <w:tcPr>
            <w:tcW w:w="2322" w:type="dxa"/>
            <w:tcBorders>
              <w:top w:val="nil"/>
              <w:left w:val="nil"/>
              <w:bottom w:val="nil"/>
              <w:right w:val="nil"/>
            </w:tcBorders>
          </w:tcPr>
          <w:p w14:paraId="394A2CB4" w14:textId="77777777" w:rsidR="00FA3151" w:rsidRPr="00FA3151" w:rsidRDefault="00FA3151" w:rsidP="00FA3151">
            <w:pPr>
              <w:spacing w:after="0" w:line="240" w:lineRule="auto"/>
              <w:rPr>
                <w:rFonts w:ascii="Times New Roman" w:eastAsia="Times New Roman" w:hAnsi="Times New Roman" w:cs="Times New Roman"/>
                <w:sz w:val="24"/>
                <w:szCs w:val="24"/>
              </w:rPr>
            </w:pPr>
          </w:p>
        </w:tc>
      </w:tr>
      <w:tr w:rsidR="00FA3151" w:rsidRPr="00FA3151" w14:paraId="01CE30D4" w14:textId="77777777" w:rsidTr="00643551">
        <w:trPr>
          <w:jc w:val="center"/>
        </w:trPr>
        <w:tc>
          <w:tcPr>
            <w:tcW w:w="4643" w:type="dxa"/>
            <w:gridSpan w:val="2"/>
            <w:tcBorders>
              <w:top w:val="nil"/>
              <w:left w:val="nil"/>
              <w:bottom w:val="nil"/>
              <w:right w:val="nil"/>
            </w:tcBorders>
          </w:tcPr>
          <w:p w14:paraId="72C325AC" w14:textId="77777777" w:rsidR="00FA3151" w:rsidRPr="00FA3151" w:rsidRDefault="00FA3151" w:rsidP="00FA3151">
            <w:pPr>
              <w:spacing w:after="0" w:line="240" w:lineRule="auto"/>
              <w:rPr>
                <w:rFonts w:ascii="Times New Roman" w:eastAsia="Times New Roman" w:hAnsi="Times New Roman" w:cs="Times New Roman"/>
                <w:b/>
                <w:sz w:val="24"/>
                <w:szCs w:val="24"/>
              </w:rPr>
            </w:pPr>
          </w:p>
        </w:tc>
        <w:tc>
          <w:tcPr>
            <w:tcW w:w="4643" w:type="dxa"/>
            <w:gridSpan w:val="2"/>
            <w:tcBorders>
              <w:top w:val="nil"/>
              <w:left w:val="nil"/>
              <w:bottom w:val="nil"/>
              <w:right w:val="nil"/>
            </w:tcBorders>
          </w:tcPr>
          <w:p w14:paraId="4389354A" w14:textId="77777777" w:rsidR="00FA3151" w:rsidRPr="00FA3151" w:rsidRDefault="00FA3151" w:rsidP="00FA3151">
            <w:pPr>
              <w:spacing w:after="0" w:line="240" w:lineRule="auto"/>
              <w:rPr>
                <w:rFonts w:ascii="Times New Roman" w:eastAsia="Times New Roman" w:hAnsi="Times New Roman" w:cs="Times New Roman"/>
                <w:b/>
                <w:sz w:val="24"/>
                <w:szCs w:val="24"/>
              </w:rPr>
            </w:pPr>
          </w:p>
        </w:tc>
      </w:tr>
      <w:tr w:rsidR="00FA3151" w:rsidRPr="00FA3151" w14:paraId="1427B2FC" w14:textId="77777777" w:rsidTr="00643551">
        <w:trPr>
          <w:jc w:val="center"/>
        </w:trPr>
        <w:tc>
          <w:tcPr>
            <w:tcW w:w="1950" w:type="dxa"/>
            <w:tcBorders>
              <w:top w:val="nil"/>
              <w:left w:val="nil"/>
              <w:bottom w:val="nil"/>
              <w:right w:val="nil"/>
            </w:tcBorders>
          </w:tcPr>
          <w:p w14:paraId="5E33D96E"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693" w:type="dxa"/>
            <w:tcBorders>
              <w:top w:val="nil"/>
              <w:left w:val="nil"/>
              <w:bottom w:val="nil"/>
              <w:right w:val="nil"/>
            </w:tcBorders>
          </w:tcPr>
          <w:p w14:paraId="06293572"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75F410C8"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322" w:type="dxa"/>
            <w:tcBorders>
              <w:top w:val="nil"/>
              <w:left w:val="nil"/>
              <w:bottom w:val="nil"/>
              <w:right w:val="nil"/>
            </w:tcBorders>
          </w:tcPr>
          <w:p w14:paraId="2F34B59A" w14:textId="77777777" w:rsidR="00FA3151" w:rsidRPr="00FA3151" w:rsidRDefault="00FA3151" w:rsidP="00FA3151">
            <w:pPr>
              <w:spacing w:after="0" w:line="240" w:lineRule="auto"/>
              <w:rPr>
                <w:rFonts w:ascii="Times New Roman" w:eastAsia="Times New Roman" w:hAnsi="Times New Roman" w:cs="Times New Roman"/>
                <w:sz w:val="24"/>
                <w:szCs w:val="24"/>
              </w:rPr>
            </w:pPr>
          </w:p>
        </w:tc>
      </w:tr>
      <w:tr w:rsidR="00FA3151" w:rsidRPr="00FA3151" w14:paraId="567103EC" w14:textId="77777777" w:rsidTr="00643551">
        <w:trPr>
          <w:jc w:val="center"/>
        </w:trPr>
        <w:tc>
          <w:tcPr>
            <w:tcW w:w="1950" w:type="dxa"/>
            <w:tcBorders>
              <w:top w:val="nil"/>
              <w:left w:val="nil"/>
              <w:bottom w:val="nil"/>
              <w:right w:val="nil"/>
            </w:tcBorders>
          </w:tcPr>
          <w:p w14:paraId="520A1F73"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693" w:type="dxa"/>
            <w:tcBorders>
              <w:top w:val="nil"/>
              <w:left w:val="nil"/>
              <w:bottom w:val="nil"/>
              <w:right w:val="nil"/>
            </w:tcBorders>
          </w:tcPr>
          <w:p w14:paraId="69655791"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6FDD38E1"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322" w:type="dxa"/>
            <w:tcBorders>
              <w:top w:val="nil"/>
              <w:left w:val="nil"/>
              <w:bottom w:val="nil"/>
              <w:right w:val="nil"/>
            </w:tcBorders>
          </w:tcPr>
          <w:p w14:paraId="14DBFC76" w14:textId="77777777" w:rsidR="00FA3151" w:rsidRPr="00FA3151" w:rsidRDefault="00FA3151" w:rsidP="00FA3151">
            <w:pPr>
              <w:spacing w:after="0" w:line="240" w:lineRule="auto"/>
              <w:rPr>
                <w:rFonts w:ascii="Times New Roman" w:eastAsia="Times New Roman" w:hAnsi="Times New Roman" w:cs="Times New Roman"/>
                <w:sz w:val="24"/>
                <w:szCs w:val="24"/>
              </w:rPr>
            </w:pPr>
          </w:p>
        </w:tc>
      </w:tr>
      <w:tr w:rsidR="00FA3151" w:rsidRPr="00FA3151" w14:paraId="1DCC8188" w14:textId="77777777" w:rsidTr="00643551">
        <w:trPr>
          <w:jc w:val="center"/>
        </w:trPr>
        <w:tc>
          <w:tcPr>
            <w:tcW w:w="1950" w:type="dxa"/>
            <w:tcBorders>
              <w:top w:val="nil"/>
              <w:left w:val="nil"/>
              <w:bottom w:val="nil"/>
              <w:right w:val="nil"/>
            </w:tcBorders>
          </w:tcPr>
          <w:p w14:paraId="48B05265"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693" w:type="dxa"/>
            <w:tcBorders>
              <w:top w:val="nil"/>
              <w:left w:val="nil"/>
              <w:bottom w:val="nil"/>
              <w:right w:val="nil"/>
            </w:tcBorders>
          </w:tcPr>
          <w:p w14:paraId="2F55C87B"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08F8DDB8"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322" w:type="dxa"/>
            <w:tcBorders>
              <w:top w:val="nil"/>
              <w:left w:val="nil"/>
              <w:bottom w:val="nil"/>
              <w:right w:val="nil"/>
            </w:tcBorders>
          </w:tcPr>
          <w:p w14:paraId="4E5E96D0" w14:textId="77777777" w:rsidR="00FA3151" w:rsidRPr="00FA3151" w:rsidRDefault="00FA3151" w:rsidP="00FA3151">
            <w:pPr>
              <w:spacing w:after="0" w:line="240" w:lineRule="auto"/>
              <w:rPr>
                <w:rFonts w:ascii="Times New Roman" w:eastAsia="Times New Roman" w:hAnsi="Times New Roman" w:cs="Times New Roman"/>
                <w:sz w:val="24"/>
                <w:szCs w:val="24"/>
              </w:rPr>
            </w:pPr>
          </w:p>
        </w:tc>
      </w:tr>
      <w:tr w:rsidR="00FA3151" w:rsidRPr="00FA3151" w14:paraId="0936C513" w14:textId="77777777" w:rsidTr="00643551">
        <w:trPr>
          <w:jc w:val="center"/>
        </w:trPr>
        <w:tc>
          <w:tcPr>
            <w:tcW w:w="1950" w:type="dxa"/>
            <w:tcBorders>
              <w:top w:val="nil"/>
              <w:left w:val="nil"/>
              <w:bottom w:val="nil"/>
              <w:right w:val="nil"/>
            </w:tcBorders>
          </w:tcPr>
          <w:p w14:paraId="4991FB53"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693" w:type="dxa"/>
            <w:tcBorders>
              <w:top w:val="nil"/>
              <w:left w:val="nil"/>
              <w:bottom w:val="nil"/>
              <w:right w:val="nil"/>
            </w:tcBorders>
          </w:tcPr>
          <w:p w14:paraId="00636C7C"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01456F8C" w14:textId="77777777" w:rsidR="00FA3151" w:rsidRPr="00FA3151" w:rsidRDefault="00FA3151" w:rsidP="00FA3151">
            <w:pPr>
              <w:spacing w:after="0" w:line="240" w:lineRule="auto"/>
              <w:rPr>
                <w:rFonts w:ascii="Times New Roman" w:eastAsia="Times New Roman" w:hAnsi="Times New Roman" w:cs="Times New Roman"/>
                <w:sz w:val="24"/>
                <w:szCs w:val="24"/>
              </w:rPr>
            </w:pPr>
          </w:p>
        </w:tc>
        <w:tc>
          <w:tcPr>
            <w:tcW w:w="2322" w:type="dxa"/>
            <w:tcBorders>
              <w:top w:val="nil"/>
              <w:left w:val="nil"/>
              <w:bottom w:val="nil"/>
              <w:right w:val="nil"/>
            </w:tcBorders>
          </w:tcPr>
          <w:p w14:paraId="5FD4FE90" w14:textId="77777777" w:rsidR="00FA3151" w:rsidRPr="00FA3151" w:rsidRDefault="00FA3151" w:rsidP="00FA3151">
            <w:pPr>
              <w:spacing w:after="0" w:line="240" w:lineRule="auto"/>
              <w:rPr>
                <w:rFonts w:ascii="Times New Roman" w:eastAsia="Times New Roman" w:hAnsi="Times New Roman" w:cs="Times New Roman"/>
                <w:sz w:val="24"/>
                <w:szCs w:val="24"/>
              </w:rPr>
            </w:pPr>
          </w:p>
        </w:tc>
      </w:tr>
    </w:tbl>
    <w:p w14:paraId="15333223" w14:textId="77777777" w:rsidR="00FA3151" w:rsidRPr="00FA3151" w:rsidRDefault="00FA3151" w:rsidP="00FA3151">
      <w:pPr>
        <w:spacing w:after="0" w:line="240" w:lineRule="auto"/>
        <w:rPr>
          <w:rFonts w:ascii="Times New Roman" w:eastAsia="Times New Roman" w:hAnsi="Times New Roman" w:cs="Times New Roman"/>
          <w:sz w:val="24"/>
          <w:szCs w:val="24"/>
        </w:rPr>
      </w:pPr>
    </w:p>
    <w:p w14:paraId="68172016" w14:textId="77777777" w:rsidR="00FA3151" w:rsidRPr="00FA3151" w:rsidRDefault="00FA3151" w:rsidP="00FA3151">
      <w:pPr>
        <w:spacing w:after="0" w:line="240" w:lineRule="auto"/>
        <w:jc w:val="center"/>
        <w:rPr>
          <w:rFonts w:ascii="Times New Roman" w:eastAsia="Calibri" w:hAnsi="Times New Roman" w:cs="Times New Roman"/>
          <w:b/>
          <w:sz w:val="24"/>
          <w:szCs w:val="24"/>
          <w:lang w:eastAsia="hr-HR"/>
        </w:rPr>
      </w:pPr>
    </w:p>
    <w:p w14:paraId="5A36CEBF" w14:textId="77777777" w:rsidR="00FA3151" w:rsidRPr="00FA3151" w:rsidRDefault="00FA3151" w:rsidP="00FA3151">
      <w:pPr>
        <w:spacing w:after="200" w:line="276" w:lineRule="auto"/>
        <w:rPr>
          <w:rFonts w:ascii="Times New Roman" w:eastAsia="Times New Roman" w:hAnsi="Times New Roman" w:cs="Times New Roman"/>
        </w:rPr>
      </w:pPr>
    </w:p>
    <w:p w14:paraId="243127E3" w14:textId="77777777" w:rsidR="001A4E96" w:rsidRDefault="001A4E96"/>
    <w:sectPr w:rsidR="001A4E96" w:rsidSect="00327DE7">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D764" w14:textId="77777777" w:rsidR="00000000" w:rsidRDefault="00A11432">
      <w:pPr>
        <w:spacing w:after="0" w:line="240" w:lineRule="auto"/>
      </w:pPr>
      <w:r>
        <w:separator/>
      </w:r>
    </w:p>
  </w:endnote>
  <w:endnote w:type="continuationSeparator" w:id="0">
    <w:p w14:paraId="11058614" w14:textId="77777777" w:rsidR="00000000" w:rsidRDefault="00A1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167281"/>
      <w:docPartObj>
        <w:docPartGallery w:val="Page Numbers (Bottom of Page)"/>
        <w:docPartUnique/>
      </w:docPartObj>
    </w:sdtPr>
    <w:sdtEndPr/>
    <w:sdtContent>
      <w:sdt>
        <w:sdtPr>
          <w:id w:val="1728636285"/>
          <w:docPartObj>
            <w:docPartGallery w:val="Page Numbers (Top of Page)"/>
            <w:docPartUnique/>
          </w:docPartObj>
        </w:sdtPr>
        <w:sdtEndPr/>
        <w:sdtContent>
          <w:p w14:paraId="6FD16F82" w14:textId="77777777" w:rsidR="00575FD2" w:rsidRDefault="00FA3151">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w:t>
            </w:r>
            <w:r>
              <w:rPr>
                <w:b/>
                <w:bCs/>
                <w:sz w:val="24"/>
                <w:szCs w:val="24"/>
              </w:rPr>
              <w:t xml:space="preserve"> </w:t>
            </w:r>
            <w:r w:rsidRPr="00327DE7">
              <w:rPr>
                <w:b/>
                <w:bCs/>
              </w:rPr>
              <w:t>6</w:t>
            </w:r>
          </w:p>
        </w:sdtContent>
      </w:sdt>
    </w:sdtContent>
  </w:sdt>
  <w:p w14:paraId="50AFD206" w14:textId="77777777" w:rsidR="00575FD2" w:rsidRDefault="00A1143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779B3" w14:textId="77777777" w:rsidR="00000000" w:rsidRDefault="00A11432">
      <w:pPr>
        <w:spacing w:after="0" w:line="240" w:lineRule="auto"/>
      </w:pPr>
      <w:r>
        <w:separator/>
      </w:r>
    </w:p>
  </w:footnote>
  <w:footnote w:type="continuationSeparator" w:id="0">
    <w:p w14:paraId="78C2901F" w14:textId="77777777" w:rsidR="00000000" w:rsidRDefault="00A11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91DD" w14:textId="77777777" w:rsidR="00575FD2" w:rsidRDefault="00FA3151" w:rsidP="00575FD2">
    <w:pPr>
      <w:tabs>
        <w:tab w:val="left" w:pos="549"/>
      </w:tabs>
      <w:kinsoku w:val="0"/>
      <w:overflowPunct w:val="0"/>
      <w:spacing w:after="0" w:line="240" w:lineRule="auto"/>
      <w:contextualSpacing/>
      <w:jc w:val="both"/>
      <w:outlineLvl w:val="0"/>
      <w:rPr>
        <w:rFonts w:ascii="Times New Roman" w:eastAsiaTheme="majorEastAsia" w:hAnsi="Times New Roman"/>
        <w:b/>
        <w:bCs/>
        <w:sz w:val="24"/>
      </w:rPr>
    </w:pPr>
    <w:r w:rsidRPr="0095702F">
      <w:rPr>
        <w:rFonts w:ascii="Times New Roman" w:hAnsi="Times New Roman"/>
        <w:noProof/>
        <w:sz w:val="16"/>
        <w:szCs w:val="16"/>
        <w:lang w:eastAsia="hr-HR"/>
      </w:rPr>
      <w:drawing>
        <wp:anchor distT="0" distB="0" distL="114300" distR="114300" simplePos="0" relativeHeight="251659264" behindDoc="0" locked="0" layoutInCell="1" allowOverlap="1" wp14:anchorId="02483BB9" wp14:editId="2827DB4F">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1C153AE6" wp14:editId="758141D3">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3A65EAA" w14:textId="77777777" w:rsidR="00575FD2" w:rsidRPr="002D7FC6" w:rsidRDefault="00FA3151" w:rsidP="00575FD2">
                          <w:pPr>
                            <w:pStyle w:val="StandardWeb"/>
                            <w:spacing w:after="0"/>
                            <w:jc w:val="center"/>
                            <w:rPr>
                              <w:b/>
                              <w:color w:val="000000" w:themeColor="text1"/>
                              <w:kern w:val="24"/>
                              <w:sz w:val="16"/>
                              <w:szCs w:val="16"/>
                            </w:rPr>
                          </w:pPr>
                          <w:r w:rsidRPr="002D7FC6">
                            <w:rPr>
                              <w:b/>
                              <w:color w:val="000000" w:themeColor="text1"/>
                              <w:kern w:val="24"/>
                              <w:sz w:val="16"/>
                              <w:szCs w:val="16"/>
                            </w:rPr>
                            <w:t>Europska unija</w:t>
                          </w:r>
                        </w:p>
                        <w:p w14:paraId="208A5B1A" w14:textId="77777777" w:rsidR="00575FD2" w:rsidRPr="002D7FC6" w:rsidRDefault="00FA3151" w:rsidP="00575FD2">
                          <w:pPr>
                            <w:pStyle w:val="StandardWeb"/>
                            <w:spacing w:after="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C153AE6"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03A65EAA" w14:textId="77777777" w:rsidR="00575FD2" w:rsidRPr="002D7FC6" w:rsidRDefault="00FA3151" w:rsidP="00575FD2">
                    <w:pPr>
                      <w:pStyle w:val="StandardWeb"/>
                      <w:spacing w:after="0"/>
                      <w:jc w:val="center"/>
                      <w:rPr>
                        <w:b/>
                        <w:color w:val="000000" w:themeColor="text1"/>
                        <w:kern w:val="24"/>
                        <w:sz w:val="16"/>
                        <w:szCs w:val="16"/>
                      </w:rPr>
                    </w:pPr>
                    <w:r w:rsidRPr="002D7FC6">
                      <w:rPr>
                        <w:b/>
                        <w:color w:val="000000" w:themeColor="text1"/>
                        <w:kern w:val="24"/>
                        <w:sz w:val="16"/>
                        <w:szCs w:val="16"/>
                      </w:rPr>
                      <w:t>Europska unija</w:t>
                    </w:r>
                  </w:p>
                  <w:p w14:paraId="208A5B1A" w14:textId="77777777" w:rsidR="00575FD2" w:rsidRPr="002D7FC6" w:rsidRDefault="00FA3151" w:rsidP="00575FD2">
                    <w:pPr>
                      <w:pStyle w:val="StandardWeb"/>
                      <w:spacing w:after="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AC7254C" wp14:editId="44EED94F">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288A182" w14:textId="77777777" w:rsidR="00575FD2" w:rsidRPr="00FC7D26" w:rsidRDefault="00FA3151" w:rsidP="00575FD2">
                          <w:pPr>
                            <w:pStyle w:val="StandardWeb"/>
                            <w:spacing w:after="0"/>
                            <w:rPr>
                              <w:b/>
                              <w:color w:val="EE0000"/>
                              <w:kern w:val="24"/>
                              <w:sz w:val="16"/>
                              <w:szCs w:val="16"/>
                            </w:rPr>
                          </w:pPr>
                          <w:r w:rsidRPr="00FC7D26">
                            <w:rPr>
                              <w:b/>
                              <w:color w:val="EE0000"/>
                              <w:kern w:val="24"/>
                              <w:sz w:val="16"/>
                              <w:szCs w:val="16"/>
                            </w:rPr>
                            <w:t>REPUBLIKA HRVATSKA</w:t>
                          </w:r>
                        </w:p>
                        <w:p w14:paraId="4EA8A136" w14:textId="77777777" w:rsidR="00575FD2" w:rsidRPr="005F36E1" w:rsidRDefault="00FA3151" w:rsidP="00575FD2">
                          <w:pPr>
                            <w:pStyle w:val="StandardWeb"/>
                            <w:spacing w:after="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AC7254C"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0288A182" w14:textId="77777777" w:rsidR="00575FD2" w:rsidRPr="00FC7D26" w:rsidRDefault="00FA3151" w:rsidP="00575FD2">
                    <w:pPr>
                      <w:pStyle w:val="StandardWeb"/>
                      <w:spacing w:after="0"/>
                      <w:rPr>
                        <w:b/>
                        <w:color w:val="EE0000"/>
                        <w:kern w:val="24"/>
                        <w:sz w:val="16"/>
                        <w:szCs w:val="16"/>
                      </w:rPr>
                    </w:pPr>
                    <w:r w:rsidRPr="00FC7D26">
                      <w:rPr>
                        <w:b/>
                        <w:color w:val="EE0000"/>
                        <w:kern w:val="24"/>
                        <w:sz w:val="16"/>
                        <w:szCs w:val="16"/>
                      </w:rPr>
                      <w:t>REPUBLIKA HRVATSKA</w:t>
                    </w:r>
                  </w:p>
                  <w:p w14:paraId="4EA8A136" w14:textId="77777777" w:rsidR="00575FD2" w:rsidRPr="005F36E1" w:rsidRDefault="00FA3151" w:rsidP="00575FD2">
                    <w:pPr>
                      <w:pStyle w:val="StandardWeb"/>
                      <w:spacing w:after="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b/>
        <w:bCs/>
        <w:noProof/>
        <w:sz w:val="24"/>
        <w:lang w:eastAsia="hr-HR"/>
      </w:rPr>
      <w:drawing>
        <wp:inline distT="0" distB="0" distL="0" distR="0" wp14:anchorId="1A13798D" wp14:editId="782AE57E">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C21A760" w14:textId="77777777" w:rsidR="00575FD2" w:rsidRDefault="00A1143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06E"/>
    <w:multiLevelType w:val="hybridMultilevel"/>
    <w:tmpl w:val="68DC1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51"/>
    <w:rsid w:val="001A4E96"/>
    <w:rsid w:val="008D7B6C"/>
    <w:rsid w:val="00A11432"/>
    <w:rsid w:val="00A36CEC"/>
    <w:rsid w:val="00FA31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8397"/>
  <w15:chartTrackingRefBased/>
  <w15:docId w15:val="{A7151A41-D41E-4279-BE6A-2748DCEB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FA315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A3151"/>
  </w:style>
  <w:style w:type="paragraph" w:styleId="Podnoje">
    <w:name w:val="footer"/>
    <w:basedOn w:val="Normal"/>
    <w:link w:val="PodnojeChar"/>
    <w:uiPriority w:val="99"/>
    <w:semiHidden/>
    <w:unhideWhenUsed/>
    <w:rsid w:val="00FA3151"/>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A3151"/>
  </w:style>
  <w:style w:type="paragraph" w:styleId="StandardWeb">
    <w:name w:val="Normal (Web)"/>
    <w:basedOn w:val="Normal"/>
    <w:uiPriority w:val="99"/>
    <w:semiHidden/>
    <w:unhideWhenUsed/>
    <w:rsid w:val="00FA31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2D11B-26F7-4113-927D-8097388C42B5}">
  <ds:schemaRefs>
    <ds:schemaRef ds:uri="http://schemas.microsoft.com/office/2006/metadata/properties"/>
    <ds:schemaRef ds:uri="http://schemas.microsoft.com/sharepoint/v3"/>
    <ds:schemaRef ds:uri="95c367f3-7082-40d6-8aa5-ade68b88014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a4f71ef9-5b13-4f0b-a9a5-bfaeb3b870d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345A995-4927-41DF-AEC8-7AAE8206ABAE}">
  <ds:schemaRefs>
    <ds:schemaRef ds:uri="http://schemas.microsoft.com/sharepoint/v3/contenttype/forms"/>
  </ds:schemaRefs>
</ds:datastoreItem>
</file>

<file path=customXml/itemProps3.xml><?xml version="1.0" encoding="utf-8"?>
<ds:datastoreItem xmlns:ds="http://schemas.openxmlformats.org/officeDocument/2006/customXml" ds:itemID="{EB5C4413-D68D-47D6-9542-A6CB0815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1485</Words>
  <Characters>8469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Neven Bertović</cp:lastModifiedBy>
  <cp:revision>2</cp:revision>
  <dcterms:created xsi:type="dcterms:W3CDTF">2021-06-07T07:31:00Z</dcterms:created>
  <dcterms:modified xsi:type="dcterms:W3CDTF">2021-06-07T07:31:00Z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