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08AEF47B" w14:textId="77777777" w:rsidR="00D832CA" w:rsidRDefault="00D832CA" w:rsidP="00A1247D">
      <w:pPr>
        <w:spacing w:after="0" w:line="240" w:lineRule="auto"/>
        <w:rPr>
          <w:rFonts w:ascii="Times New Roman" w:hAnsi="Times New Roman"/>
          <w:b/>
          <w:sz w:val="24"/>
          <w:szCs w:val="24"/>
        </w:rPr>
      </w:pPr>
    </w:p>
    <w:p w14:paraId="1E65683F" w14:textId="77777777" w:rsidR="00D832CA" w:rsidRDefault="00D832CA" w:rsidP="00A1247D">
      <w:pPr>
        <w:spacing w:after="0" w:line="240" w:lineRule="auto"/>
        <w:rPr>
          <w:rFonts w:ascii="Times New Roman" w:hAnsi="Times New Roman"/>
          <w:b/>
          <w:sz w:val="24"/>
          <w:szCs w:val="24"/>
        </w:rPr>
      </w:pPr>
    </w:p>
    <w:p w14:paraId="118DBECF" w14:textId="77777777" w:rsidR="00D832CA" w:rsidRDefault="00D832CA" w:rsidP="00A1247D">
      <w:pPr>
        <w:spacing w:after="0" w:line="240" w:lineRule="auto"/>
        <w:rPr>
          <w:rFonts w:ascii="Times New Roman" w:hAnsi="Times New Roman"/>
          <w:b/>
          <w:sz w:val="24"/>
          <w:szCs w:val="24"/>
        </w:rPr>
      </w:pPr>
    </w:p>
    <w:p w14:paraId="29F3C179" w14:textId="77777777" w:rsidR="00D832CA" w:rsidRDefault="00D832CA" w:rsidP="00A1247D">
      <w:pPr>
        <w:spacing w:after="0" w:line="240" w:lineRule="auto"/>
        <w:rPr>
          <w:rFonts w:ascii="Times New Roman" w:hAnsi="Times New Roman"/>
          <w:b/>
          <w:sz w:val="24"/>
          <w:szCs w:val="24"/>
        </w:rPr>
      </w:pPr>
    </w:p>
    <w:p w14:paraId="72D903ED" w14:textId="77777777" w:rsidR="00D832CA" w:rsidRDefault="00D832CA" w:rsidP="00A1247D">
      <w:pPr>
        <w:spacing w:after="0" w:line="240" w:lineRule="auto"/>
        <w:rPr>
          <w:rFonts w:ascii="Times New Roman" w:hAnsi="Times New Roman"/>
          <w:b/>
          <w:sz w:val="24"/>
          <w:szCs w:val="24"/>
        </w:rPr>
      </w:pPr>
    </w:p>
    <w:p w14:paraId="31B73F6E" w14:textId="0A7891F0" w:rsidR="00D832CA" w:rsidRDefault="00D832CA" w:rsidP="00D832CA">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5E091CA0" w14:textId="77777777" w:rsidR="00D832CA"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1E9C12C6" w14:textId="77777777" w:rsidR="00D832CA" w:rsidRPr="00020E6F"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488F7F1" w14:textId="77777777" w:rsidR="00D832CA" w:rsidRDefault="00D832CA" w:rsidP="00D832CA">
      <w:pPr>
        <w:spacing w:after="0" w:line="240" w:lineRule="auto"/>
        <w:jc w:val="center"/>
        <w:rPr>
          <w:rFonts w:ascii="Times New Roman" w:hAnsi="Times New Roman"/>
          <w:sz w:val="24"/>
          <w:szCs w:val="24"/>
        </w:rPr>
      </w:pPr>
    </w:p>
    <w:p w14:paraId="759CB35C" w14:textId="77777777" w:rsidR="00D832CA" w:rsidRDefault="00D832CA" w:rsidP="00D832CA">
      <w:pPr>
        <w:spacing w:after="0" w:line="240" w:lineRule="auto"/>
        <w:jc w:val="center"/>
        <w:rPr>
          <w:rFonts w:ascii="Times New Roman" w:hAnsi="Times New Roman"/>
          <w:b/>
          <w:sz w:val="24"/>
          <w:szCs w:val="24"/>
        </w:rPr>
      </w:pPr>
    </w:p>
    <w:p w14:paraId="1799D652" w14:textId="77777777" w:rsidR="00D832CA" w:rsidRDefault="00D832CA" w:rsidP="00D832CA">
      <w:pPr>
        <w:spacing w:after="0" w:line="240" w:lineRule="auto"/>
        <w:jc w:val="center"/>
        <w:rPr>
          <w:rFonts w:ascii="Times New Roman" w:hAnsi="Times New Roman"/>
          <w:b/>
          <w:sz w:val="24"/>
          <w:szCs w:val="24"/>
        </w:rPr>
      </w:pPr>
    </w:p>
    <w:p w14:paraId="03BFD20C" w14:textId="3D8734B1" w:rsidR="00D832CA" w:rsidRPr="00CC4F93" w:rsidRDefault="00CD180A" w:rsidP="00D832CA">
      <w:pPr>
        <w:spacing w:after="0" w:line="240" w:lineRule="auto"/>
        <w:jc w:val="center"/>
        <w:rPr>
          <w:rFonts w:ascii="Times New Roman" w:hAnsi="Times New Roman"/>
          <w:b/>
          <w:sz w:val="24"/>
          <w:szCs w:val="24"/>
        </w:rPr>
      </w:pPr>
      <w:r>
        <w:rPr>
          <w:rFonts w:ascii="Times New Roman" w:hAnsi="Times New Roman"/>
          <w:b/>
          <w:sz w:val="24"/>
          <w:szCs w:val="24"/>
        </w:rPr>
        <w:t>Z</w:t>
      </w:r>
      <w:r w:rsidR="00D832CA" w:rsidRPr="00CC4F93">
        <w:rPr>
          <w:rFonts w:ascii="Times New Roman" w:hAnsi="Times New Roman"/>
          <w:b/>
          <w:sz w:val="24"/>
          <w:szCs w:val="24"/>
        </w:rPr>
        <w:t>a operaciju</w:t>
      </w:r>
    </w:p>
    <w:p w14:paraId="70E9CA0F" w14:textId="77777777" w:rsidR="00D832CA"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53F98806" w14:textId="77777777" w:rsidR="00D832CA" w:rsidRPr="00020E6F"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26E441A5" w14:textId="77777777" w:rsidR="00D832CA" w:rsidRPr="00745F98" w:rsidRDefault="00D832CA" w:rsidP="00D832CA">
      <w:pPr>
        <w:tabs>
          <w:tab w:val="left" w:pos="-1701"/>
          <w:tab w:val="left" w:pos="-1560"/>
        </w:tabs>
        <w:spacing w:after="0" w:line="240" w:lineRule="auto"/>
        <w:jc w:val="center"/>
        <w:rPr>
          <w:rFonts w:ascii="Times New Roman" w:hAnsi="Times New Roman"/>
          <w:b/>
          <w:i/>
          <w:sz w:val="24"/>
          <w:szCs w:val="24"/>
        </w:rPr>
      </w:pPr>
      <w:r w:rsidRPr="00745F98">
        <w:rPr>
          <w:rFonts w:ascii="Times New Roman" w:hAnsi="Times New Roman"/>
          <w:b/>
          <w:sz w:val="24"/>
          <w:szCs w:val="24"/>
        </w:rPr>
        <w:t>&lt;</w:t>
      </w:r>
      <w:r w:rsidRPr="00745F98">
        <w:rPr>
          <w:rFonts w:ascii="Times New Roman" w:hAnsi="Times New Roman"/>
          <w:b/>
          <w:i/>
          <w:sz w:val="24"/>
          <w:szCs w:val="24"/>
        </w:rPr>
        <w:t>Naziv operacije&gt;</w:t>
      </w:r>
    </w:p>
    <w:p w14:paraId="1DB72D43" w14:textId="77777777" w:rsidR="00D832CA" w:rsidRPr="00745F98" w:rsidRDefault="00D832CA" w:rsidP="00D832CA">
      <w:pPr>
        <w:tabs>
          <w:tab w:val="left" w:pos="-1701"/>
          <w:tab w:val="left" w:pos="-1560"/>
        </w:tabs>
        <w:spacing w:after="0" w:line="240" w:lineRule="auto"/>
        <w:jc w:val="center"/>
        <w:rPr>
          <w:rFonts w:ascii="Times New Roman" w:hAnsi="Times New Roman"/>
          <w:b/>
          <w:i/>
          <w:sz w:val="24"/>
          <w:szCs w:val="24"/>
        </w:rPr>
      </w:pPr>
    </w:p>
    <w:p w14:paraId="17502069" w14:textId="77777777" w:rsidR="00D832CA" w:rsidRPr="00745F98" w:rsidRDefault="00D832CA" w:rsidP="00D832CA">
      <w:pPr>
        <w:tabs>
          <w:tab w:val="left" w:pos="-1701"/>
          <w:tab w:val="left" w:pos="-1560"/>
        </w:tabs>
        <w:spacing w:after="0" w:line="240" w:lineRule="auto"/>
        <w:jc w:val="center"/>
        <w:rPr>
          <w:rFonts w:ascii="Times New Roman" w:hAnsi="Times New Roman"/>
          <w:b/>
          <w:i/>
          <w:sz w:val="24"/>
          <w:szCs w:val="24"/>
        </w:rPr>
      </w:pPr>
      <w:r w:rsidRPr="00745F98">
        <w:rPr>
          <w:rFonts w:ascii="Times New Roman" w:hAnsi="Times New Roman"/>
          <w:b/>
          <w:sz w:val="24"/>
          <w:szCs w:val="24"/>
        </w:rPr>
        <w:t xml:space="preserve">referentni broj Ugovora o dodjeli bespovratnih financijskih sredstava: </w:t>
      </w:r>
      <w:r w:rsidRPr="00745F98">
        <w:rPr>
          <w:rFonts w:ascii="Times New Roman" w:hAnsi="Times New Roman"/>
          <w:b/>
          <w:i/>
          <w:sz w:val="24"/>
          <w:szCs w:val="24"/>
        </w:rPr>
        <w:t>&lt;upisati&gt;</w:t>
      </w:r>
    </w:p>
    <w:p w14:paraId="77F8110A"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02B2B5FB"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CFC0FB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CF3956F"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7B8856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CE2EEEC"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28F4D596"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3B2AD1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8A71DC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E2E2DA4" w14:textId="430D4659"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6F509268" w14:textId="010D83F7" w:rsidR="00C255F7" w:rsidRDefault="00C255F7" w:rsidP="00D832CA">
      <w:pPr>
        <w:tabs>
          <w:tab w:val="left" w:pos="-1701"/>
          <w:tab w:val="left" w:pos="-1560"/>
        </w:tabs>
        <w:spacing w:after="0" w:line="240" w:lineRule="auto"/>
        <w:jc w:val="center"/>
        <w:rPr>
          <w:rFonts w:ascii="Times New Roman" w:hAnsi="Times New Roman"/>
          <w:b/>
          <w:sz w:val="24"/>
          <w:szCs w:val="24"/>
        </w:rPr>
      </w:pPr>
    </w:p>
    <w:p w14:paraId="7E8C48A8" w14:textId="66CC627F" w:rsidR="00C255F7" w:rsidRDefault="00C255F7" w:rsidP="00D832CA">
      <w:pPr>
        <w:tabs>
          <w:tab w:val="left" w:pos="-1701"/>
          <w:tab w:val="left" w:pos="-1560"/>
        </w:tabs>
        <w:spacing w:after="0" w:line="240" w:lineRule="auto"/>
        <w:jc w:val="center"/>
        <w:rPr>
          <w:rFonts w:ascii="Times New Roman" w:hAnsi="Times New Roman"/>
          <w:b/>
          <w:sz w:val="24"/>
          <w:szCs w:val="24"/>
        </w:rPr>
      </w:pPr>
    </w:p>
    <w:p w14:paraId="49EB851E" w14:textId="6B5EA7B6" w:rsidR="00C255F7" w:rsidRDefault="00C255F7" w:rsidP="00D832CA">
      <w:pPr>
        <w:tabs>
          <w:tab w:val="left" w:pos="-1701"/>
          <w:tab w:val="left" w:pos="-1560"/>
        </w:tabs>
        <w:spacing w:after="0" w:line="240" w:lineRule="auto"/>
        <w:jc w:val="center"/>
        <w:rPr>
          <w:rFonts w:ascii="Times New Roman" w:hAnsi="Times New Roman"/>
          <w:b/>
          <w:sz w:val="24"/>
          <w:szCs w:val="24"/>
        </w:rPr>
      </w:pPr>
    </w:p>
    <w:p w14:paraId="2954ECD3" w14:textId="3A0E304C" w:rsidR="00C255F7" w:rsidRDefault="00C255F7" w:rsidP="00D832CA">
      <w:pPr>
        <w:tabs>
          <w:tab w:val="left" w:pos="-1701"/>
          <w:tab w:val="left" w:pos="-1560"/>
        </w:tabs>
        <w:spacing w:after="0" w:line="240" w:lineRule="auto"/>
        <w:jc w:val="center"/>
        <w:rPr>
          <w:rFonts w:ascii="Times New Roman" w:hAnsi="Times New Roman"/>
          <w:b/>
          <w:sz w:val="24"/>
          <w:szCs w:val="24"/>
        </w:rPr>
      </w:pPr>
    </w:p>
    <w:p w14:paraId="4D5F9EB0" w14:textId="77777777" w:rsidR="00C255F7" w:rsidRDefault="00C255F7" w:rsidP="00D832CA">
      <w:pPr>
        <w:tabs>
          <w:tab w:val="left" w:pos="-1701"/>
          <w:tab w:val="left" w:pos="-1560"/>
        </w:tabs>
        <w:spacing w:after="0" w:line="240" w:lineRule="auto"/>
        <w:jc w:val="center"/>
        <w:rPr>
          <w:rFonts w:ascii="Times New Roman" w:hAnsi="Times New Roman"/>
          <w:b/>
          <w:sz w:val="24"/>
          <w:szCs w:val="24"/>
        </w:rPr>
      </w:pPr>
    </w:p>
    <w:p w14:paraId="1C99B7F5"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0330181" w14:textId="77777777" w:rsidR="00D832CA" w:rsidRPr="00EF1E47" w:rsidRDefault="00D832CA" w:rsidP="00D832CA">
      <w:pPr>
        <w:tabs>
          <w:tab w:val="left" w:pos="-1701"/>
          <w:tab w:val="left" w:pos="-1560"/>
        </w:tabs>
        <w:spacing w:after="0" w:line="240" w:lineRule="auto"/>
        <w:jc w:val="center"/>
        <w:rPr>
          <w:rFonts w:ascii="Times New Roman" w:hAnsi="Times New Roman"/>
          <w:b/>
          <w:sz w:val="24"/>
          <w:szCs w:val="24"/>
        </w:rPr>
      </w:pPr>
    </w:p>
    <w:p w14:paraId="4FCD80FD" w14:textId="77777777" w:rsidR="00D832CA" w:rsidRPr="00E60D82" w:rsidRDefault="00D832CA" w:rsidP="00D832CA">
      <w:pPr>
        <w:tabs>
          <w:tab w:val="left" w:pos="1257"/>
        </w:tabs>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7EE47D20" w14:textId="06FD2FEA" w:rsidR="00D832CA" w:rsidRPr="00C255F7" w:rsidRDefault="00574F8E" w:rsidP="00574F8E">
      <w:pPr>
        <w:spacing w:after="0" w:line="240" w:lineRule="auto"/>
        <w:jc w:val="center"/>
        <w:rPr>
          <w:rFonts w:ascii="Times New Roman" w:hAnsi="Times New Roman"/>
          <w:b/>
          <w:bCs/>
          <w:sz w:val="24"/>
          <w:szCs w:val="24"/>
        </w:rPr>
      </w:pPr>
      <w:r w:rsidRPr="00C255F7">
        <w:rPr>
          <w:rFonts w:ascii="Times New Roman" w:hAnsi="Times New Roman"/>
          <w:b/>
          <w:bCs/>
          <w:sz w:val="24"/>
          <w:szCs w:val="24"/>
        </w:rPr>
        <w:t>Provedba mjera neposredne obnove potresom pogođenih prirodnih zona kako bi se izbjegle neposredne štete od erozije tla na području Grada Zagreba, Krapinsko-zagorske županije i Zagrebačke županije</w:t>
      </w:r>
    </w:p>
    <w:p w14:paraId="3A23CDAB" w14:textId="0A95F2AA" w:rsidR="00CD180A" w:rsidRDefault="00CD180A" w:rsidP="00574F8E">
      <w:pPr>
        <w:spacing w:after="0" w:line="240" w:lineRule="auto"/>
        <w:jc w:val="center"/>
        <w:rPr>
          <w:rFonts w:ascii="Times New Roman" w:hAnsi="Times New Roman"/>
          <w:sz w:val="24"/>
          <w:szCs w:val="24"/>
        </w:rPr>
      </w:pPr>
    </w:p>
    <w:p w14:paraId="358B198F" w14:textId="34604676" w:rsidR="00CD180A" w:rsidRDefault="00CD180A" w:rsidP="00574F8E">
      <w:pPr>
        <w:spacing w:after="0" w:line="240" w:lineRule="auto"/>
        <w:jc w:val="center"/>
        <w:rPr>
          <w:rFonts w:ascii="Times New Roman" w:hAnsi="Times New Roman"/>
          <w:sz w:val="24"/>
          <w:szCs w:val="24"/>
        </w:rPr>
      </w:pPr>
    </w:p>
    <w:p w14:paraId="6C7BE997" w14:textId="68BD460E" w:rsidR="00CD180A" w:rsidRDefault="00CD180A" w:rsidP="00574F8E">
      <w:pPr>
        <w:spacing w:after="0" w:line="240" w:lineRule="auto"/>
        <w:jc w:val="center"/>
        <w:rPr>
          <w:rFonts w:ascii="Times New Roman" w:hAnsi="Times New Roman"/>
          <w:sz w:val="24"/>
          <w:szCs w:val="24"/>
        </w:rPr>
      </w:pPr>
    </w:p>
    <w:p w14:paraId="34B0A800" w14:textId="7829E7D5" w:rsidR="00CD180A" w:rsidRDefault="00CD180A" w:rsidP="00C255F7">
      <w:pPr>
        <w:spacing w:after="0" w:line="240" w:lineRule="auto"/>
        <w:rPr>
          <w:rFonts w:ascii="Times New Roman" w:hAnsi="Times New Roman"/>
          <w:sz w:val="24"/>
          <w:szCs w:val="24"/>
        </w:rPr>
      </w:pPr>
    </w:p>
    <w:p w14:paraId="7AAFBC6E" w14:textId="42DCB116" w:rsidR="00CD180A" w:rsidRDefault="00CD180A" w:rsidP="00574F8E">
      <w:pPr>
        <w:spacing w:after="0" w:line="240" w:lineRule="auto"/>
        <w:jc w:val="center"/>
        <w:rPr>
          <w:rFonts w:ascii="Times New Roman" w:hAnsi="Times New Roman"/>
          <w:sz w:val="24"/>
          <w:szCs w:val="24"/>
        </w:rPr>
      </w:pPr>
    </w:p>
    <w:p w14:paraId="09F1DFDD" w14:textId="77777777" w:rsidR="00CD180A" w:rsidRDefault="00CD180A" w:rsidP="00574F8E">
      <w:pPr>
        <w:spacing w:after="0" w:line="240" w:lineRule="auto"/>
        <w:jc w:val="center"/>
        <w:rPr>
          <w:rFonts w:ascii="Times New Roman" w:hAnsi="Times New Roman"/>
          <w:b/>
          <w:sz w:val="24"/>
          <w:szCs w:val="24"/>
        </w:rPr>
      </w:pPr>
    </w:p>
    <w:p w14:paraId="4579F4A3" w14:textId="5D1161DF"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lastRenderedPageBreak/>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1CEA8347" w:rsidR="007B0B04" w:rsidRDefault="007B0B04" w:rsidP="00E4744C">
      <w:pPr>
        <w:spacing w:after="0" w:line="240" w:lineRule="auto"/>
        <w:outlineLvl w:val="0"/>
        <w:rPr>
          <w:rFonts w:ascii="Times New Roman" w:hAnsi="Times New Roman"/>
          <w:sz w:val="24"/>
          <w:szCs w:val="24"/>
        </w:rPr>
      </w:pPr>
    </w:p>
    <w:p w14:paraId="6BBB0019" w14:textId="77777777" w:rsidR="00033AA1" w:rsidRPr="00E4744C" w:rsidRDefault="00033AA1"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906C9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12F5FDC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190203FC" w14:textId="30E4006D" w:rsidR="003E546B" w:rsidRDefault="003E546B">
      <w:pPr>
        <w:spacing w:after="0" w:line="240" w:lineRule="auto"/>
        <w:rPr>
          <w:rFonts w:ascii="Times New Roman" w:hAnsi="Times New Roman"/>
          <w:sz w:val="24"/>
          <w:szCs w:val="24"/>
        </w:rPr>
      </w:pPr>
    </w:p>
    <w:p w14:paraId="35F12CD1" w14:textId="77777777" w:rsidR="0094436C" w:rsidRDefault="0094436C">
      <w:pPr>
        <w:spacing w:after="0" w:line="240" w:lineRule="auto"/>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2092661C"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D832CA">
        <w:rPr>
          <w:rFonts w:ascii="Times New Roman" w:hAnsi="Times New Roman"/>
          <w:sz w:val="24"/>
          <w:szCs w:val="24"/>
        </w:rPr>
        <w:t>.</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487955AB" w14:textId="256B3E32" w:rsidR="00D832CA" w:rsidRPr="00F62B25" w:rsidRDefault="001B4B86" w:rsidP="00D832CA">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084F97">
        <w:rPr>
          <w:rFonts w:ascii="Times New Roman" w:hAnsi="Times New Roman"/>
          <w:sz w:val="24"/>
          <w:szCs w:val="24"/>
        </w:rPr>
        <w:tab/>
      </w:r>
      <w:r w:rsidR="00D832CA" w:rsidRPr="00F62B25">
        <w:rPr>
          <w:rFonts w:ascii="Times New Roman" w:hAnsi="Times New Roman"/>
          <w:sz w:val="24"/>
          <w:szCs w:val="24"/>
        </w:rPr>
        <w:t>Korisnik podnosi Zahtjeve za nadoknadom sredstava TOPFD-u tromjesečno, i to po isteku</w:t>
      </w:r>
      <w:r w:rsidR="00D832CA">
        <w:rPr>
          <w:rFonts w:ascii="Times New Roman" w:hAnsi="Times New Roman"/>
          <w:sz w:val="24"/>
          <w:szCs w:val="24"/>
        </w:rPr>
        <w:t xml:space="preserve"> </w:t>
      </w:r>
      <w:r w:rsidR="00D832CA" w:rsidRPr="00F62B25">
        <w:rPr>
          <w:rFonts w:ascii="Times New Roman" w:hAnsi="Times New Roman"/>
          <w:sz w:val="24"/>
          <w:szCs w:val="24"/>
        </w:rPr>
        <w:t>15 kalendarskih dana od proteka tromjesečnog razdoblja.</w:t>
      </w:r>
      <w:r w:rsidR="00D832CA">
        <w:rPr>
          <w:rFonts w:ascii="Times New Roman" w:hAnsi="Times New Roman"/>
          <w:sz w:val="24"/>
          <w:szCs w:val="24"/>
        </w:rPr>
        <w:t xml:space="preserve"> Izvješće o napretku dio je zahtjeva za nadoknadom sredstava.</w:t>
      </w:r>
    </w:p>
    <w:p w14:paraId="2CED30CC" w14:textId="29231A3A" w:rsidR="00091B23" w:rsidRDefault="00D832CA" w:rsidP="00375B22">
      <w:pPr>
        <w:spacing w:after="0" w:line="240" w:lineRule="auto"/>
        <w:ind w:left="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60F3DB79" w:rsidR="00A64959" w:rsidRDefault="00692B85" w:rsidP="00E511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w:t>
      </w:r>
      <w:r w:rsidR="00D832CA" w:rsidRPr="5BD0CF6B">
        <w:rPr>
          <w:rFonts w:ascii="Times New Roman" w:hAnsi="Times New Roman"/>
          <w:sz w:val="24"/>
          <w:szCs w:val="24"/>
        </w:rPr>
        <w:t>6</w:t>
      </w:r>
      <w:r w:rsidRPr="5BD0CF6B">
        <w:rPr>
          <w:rFonts w:ascii="Times New Roman" w:hAnsi="Times New Roman"/>
          <w:sz w:val="24"/>
          <w:szCs w:val="24"/>
        </w:rPr>
        <w:t>.</w:t>
      </w:r>
      <w:r w:rsidR="00084F97">
        <w:rPr>
          <w:rFonts w:ascii="Times New Roman" w:hAnsi="Times New Roman"/>
          <w:sz w:val="24"/>
          <w:szCs w:val="24"/>
        </w:rPr>
        <w:tab/>
      </w:r>
      <w:r w:rsidR="00D832CA" w:rsidRPr="5BD0CF6B">
        <w:rPr>
          <w:rFonts w:ascii="Times New Roman" w:hAnsi="Times New Roman"/>
          <w:sz w:val="24"/>
          <w:szCs w:val="24"/>
        </w:rPr>
        <w:t xml:space="preserve">Rok u kojem je Korisnik obvezan čuvati dokumentaciju Operacije je </w:t>
      </w:r>
      <w:r w:rsidR="42A5D695" w:rsidRPr="5BD0CF6B">
        <w:rPr>
          <w:rFonts w:ascii="Times New Roman" w:hAnsi="Times New Roman"/>
          <w:sz w:val="24"/>
          <w:szCs w:val="24"/>
        </w:rPr>
        <w:t>sedam</w:t>
      </w:r>
      <w:r w:rsidR="00D832CA" w:rsidRPr="5BD0CF6B">
        <w:rPr>
          <w:rFonts w:ascii="Times New Roman" w:hAnsi="Times New Roman"/>
          <w:sz w:val="24"/>
          <w:szCs w:val="24"/>
        </w:rPr>
        <w:t xml:space="preserve"> godin</w:t>
      </w:r>
      <w:r w:rsidR="27BBBE1B" w:rsidRPr="5BD0CF6B">
        <w:rPr>
          <w:rFonts w:ascii="Times New Roman" w:hAnsi="Times New Roman"/>
          <w:sz w:val="24"/>
          <w:szCs w:val="24"/>
        </w:rPr>
        <w:t>a</w:t>
      </w:r>
      <w:r w:rsidR="00D832CA" w:rsidRPr="5BD0CF6B">
        <w:rPr>
          <w:rFonts w:ascii="Times New Roman" w:hAnsi="Times New Roman"/>
          <w:sz w:val="24"/>
          <w:szCs w:val="24"/>
        </w:rPr>
        <w:t xml:space="preserve"> nakon zaključenja pomoći iz Fonda solidarnosti Europske unije</w:t>
      </w:r>
      <w:r w:rsidR="5548658A" w:rsidRPr="5BD0CF6B">
        <w:rPr>
          <w:rFonts w:ascii="Times New Roman" w:hAnsi="Times New Roman"/>
          <w:sz w:val="24"/>
          <w:szCs w:val="24"/>
        </w:rPr>
        <w:t>.</w:t>
      </w:r>
    </w:p>
    <w:p w14:paraId="46232B19" w14:textId="13B5366D" w:rsid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94436C">
      <w:pPr>
        <w:spacing w:after="0" w:line="240" w:lineRule="auto"/>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0446D61A"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Dodjeljuju se bespovratna 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131150E4"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 xml:space="preserve">Iznosi bespovratnih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544FC54F" w14:textId="33C82AC8" w:rsidR="00DF6F2B" w:rsidRPr="00020E6F" w:rsidRDefault="001D4D97" w:rsidP="0094436C">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05860">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2DBA8CA4" w14:textId="77777777" w:rsidR="00DF6F2B" w:rsidRPr="00020E6F" w:rsidRDefault="00DF6F2B" w:rsidP="0094436C">
      <w:pPr>
        <w:tabs>
          <w:tab w:val="left" w:pos="567"/>
        </w:tabs>
        <w:spacing w:after="0" w:line="240" w:lineRule="auto"/>
        <w:jc w:val="both"/>
        <w:outlineLvl w:val="0"/>
        <w:rPr>
          <w:rFonts w:ascii="Times New Roman" w:hAnsi="Times New Roman"/>
          <w:sz w:val="24"/>
          <w:szCs w:val="24"/>
        </w:rPr>
      </w:pPr>
    </w:p>
    <w:p w14:paraId="2D44D584" w14:textId="1A563991" w:rsidR="001D4D97" w:rsidRDefault="00F230A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F85FB3">
        <w:rPr>
          <w:rFonts w:ascii="Times New Roman" w:hAnsi="Times New Roman"/>
          <w:sz w:val="24"/>
          <w:szCs w:val="24"/>
        </w:rPr>
        <w:t>6</w:t>
      </w:r>
      <w:r w:rsidR="005F37FD">
        <w:rPr>
          <w:rFonts w:ascii="Times New Roman" w:hAnsi="Times New Roman"/>
          <w:sz w:val="24"/>
          <w:szCs w:val="24"/>
        </w:rPr>
        <w:t>.</w:t>
      </w:r>
      <w:r w:rsidR="00286B56" w:rsidRPr="00286B56">
        <w:rPr>
          <w:rFonts w:ascii="Times New Roman" w:hAnsi="Times New Roman"/>
          <w:sz w:val="24"/>
          <w:szCs w:val="24"/>
        </w:rPr>
        <w:t xml:space="preserve"> </w:t>
      </w:r>
      <w:r w:rsidR="003E546B">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86F5FA9" w14:textId="047B3650" w:rsidR="00F85FB3" w:rsidRDefault="00F85FB3" w:rsidP="00F32EDD">
      <w:pPr>
        <w:spacing w:after="0" w:line="240" w:lineRule="auto"/>
        <w:jc w:val="both"/>
        <w:rPr>
          <w:rFonts w:ascii="Times New Roman" w:hAnsi="Times New Roman"/>
          <w:sz w:val="24"/>
          <w:szCs w:val="24"/>
        </w:rPr>
      </w:pPr>
    </w:p>
    <w:p w14:paraId="05DF5F67" w14:textId="655B98B4" w:rsidR="00033AA1" w:rsidRDefault="00033AA1" w:rsidP="00F32EDD">
      <w:pPr>
        <w:spacing w:after="0" w:line="240" w:lineRule="auto"/>
        <w:jc w:val="both"/>
        <w:rPr>
          <w:rFonts w:ascii="Times New Roman" w:hAnsi="Times New Roman"/>
          <w:sz w:val="24"/>
          <w:szCs w:val="24"/>
        </w:rPr>
      </w:pPr>
    </w:p>
    <w:p w14:paraId="05FE2AA1" w14:textId="02B611EC" w:rsidR="00033AA1" w:rsidRDefault="00033AA1" w:rsidP="00F32EDD">
      <w:pPr>
        <w:spacing w:after="0" w:line="240" w:lineRule="auto"/>
        <w:jc w:val="both"/>
        <w:rPr>
          <w:rFonts w:ascii="Times New Roman" w:hAnsi="Times New Roman"/>
          <w:sz w:val="24"/>
          <w:szCs w:val="24"/>
        </w:rPr>
      </w:pPr>
    </w:p>
    <w:p w14:paraId="1DDA3D63" w14:textId="5871D0B6" w:rsidR="00033AA1" w:rsidRDefault="00033AA1" w:rsidP="00F32EDD">
      <w:pPr>
        <w:spacing w:after="0" w:line="240" w:lineRule="auto"/>
        <w:jc w:val="both"/>
        <w:rPr>
          <w:rFonts w:ascii="Times New Roman" w:hAnsi="Times New Roman"/>
          <w:sz w:val="24"/>
          <w:szCs w:val="24"/>
        </w:rPr>
      </w:pPr>
    </w:p>
    <w:p w14:paraId="2160CD7B" w14:textId="19B7A8B9" w:rsidR="00033AA1" w:rsidRDefault="00033AA1" w:rsidP="00F32EDD">
      <w:pPr>
        <w:spacing w:after="0" w:line="240" w:lineRule="auto"/>
        <w:jc w:val="both"/>
        <w:rPr>
          <w:rFonts w:ascii="Times New Roman" w:hAnsi="Times New Roman"/>
          <w:sz w:val="24"/>
          <w:szCs w:val="24"/>
        </w:rPr>
      </w:pPr>
    </w:p>
    <w:p w14:paraId="35D08E29" w14:textId="77777777" w:rsidR="00033AA1" w:rsidRPr="00020E6F" w:rsidRDefault="00033AA1"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3B2C9312" w:rsidR="00DF6F2B" w:rsidRPr="001D4D97" w:rsidRDefault="00224D8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w:t>
      </w:r>
      <w:r w:rsidR="00AF7D03">
        <w:rPr>
          <w:rFonts w:ascii="Times New Roman" w:hAnsi="Times New Roman"/>
          <w:i/>
          <w:sz w:val="24"/>
          <w:szCs w:val="24"/>
        </w:rPr>
        <w:t xml:space="preserv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0F1285A5" w:rsidR="00A64959" w:rsidRDefault="00544670" w:rsidP="00375B22">
      <w:pPr>
        <w:spacing w:after="0" w:line="240" w:lineRule="auto"/>
        <w:ind w:left="567" w:hanging="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0A6795" w:rsidRPr="5BD0CF6B">
        <w:rPr>
          <w:rFonts w:ascii="Times New Roman" w:hAnsi="Times New Roman"/>
          <w:sz w:val="24"/>
          <w:szCs w:val="24"/>
        </w:rPr>
        <w:t xml:space="preserve">Ograničenja </w:t>
      </w:r>
      <w:r w:rsidR="00AF7D03" w:rsidRPr="5BD0CF6B">
        <w:rPr>
          <w:rFonts w:ascii="Times New Roman" w:hAnsi="Times New Roman"/>
          <w:sz w:val="24"/>
          <w:szCs w:val="24"/>
        </w:rPr>
        <w:t xml:space="preserve">u pogledu osiguravanja revizijskog traga u okviru </w:t>
      </w:r>
      <w:r w:rsidR="002D1E32" w:rsidRPr="5BD0CF6B">
        <w:rPr>
          <w:rFonts w:ascii="Times New Roman" w:hAnsi="Times New Roman"/>
          <w:sz w:val="24"/>
          <w:szCs w:val="24"/>
        </w:rPr>
        <w:t>operacije</w:t>
      </w:r>
      <w:r w:rsidR="00AF7D03" w:rsidRPr="5BD0CF6B">
        <w:rPr>
          <w:rFonts w:ascii="Times New Roman" w:hAnsi="Times New Roman"/>
          <w:sz w:val="24"/>
          <w:szCs w:val="24"/>
        </w:rPr>
        <w:t xml:space="preserve"> </w:t>
      </w:r>
      <w:r w:rsidR="00A64959" w:rsidRPr="5BD0CF6B">
        <w:rPr>
          <w:rFonts w:ascii="Times New Roman" w:hAnsi="Times New Roman"/>
          <w:sz w:val="24"/>
          <w:szCs w:val="24"/>
        </w:rPr>
        <w:t xml:space="preserve">primjenjuju se </w:t>
      </w:r>
      <w:r w:rsidR="00FE4D4E" w:rsidRPr="5BD0CF6B">
        <w:rPr>
          <w:rFonts w:ascii="Times New Roman" w:hAnsi="Times New Roman"/>
          <w:sz w:val="24"/>
          <w:szCs w:val="24"/>
        </w:rPr>
        <w:t xml:space="preserve">tijekom razdoblja od </w:t>
      </w:r>
      <w:r w:rsidR="3E1F2950" w:rsidRPr="5BD0CF6B">
        <w:rPr>
          <w:rFonts w:ascii="Times New Roman" w:hAnsi="Times New Roman"/>
          <w:sz w:val="24"/>
          <w:szCs w:val="24"/>
        </w:rPr>
        <w:t>sedam</w:t>
      </w:r>
      <w:r w:rsidR="00FE4D4E" w:rsidRPr="5BD0CF6B">
        <w:rPr>
          <w:rFonts w:ascii="Times New Roman" w:hAnsi="Times New Roman"/>
          <w:sz w:val="24"/>
          <w:szCs w:val="24"/>
        </w:rPr>
        <w:t xml:space="preserve"> godin</w:t>
      </w:r>
      <w:r w:rsidR="44EBA9B9" w:rsidRPr="5BD0CF6B">
        <w:rPr>
          <w:rFonts w:ascii="Times New Roman" w:hAnsi="Times New Roman"/>
          <w:sz w:val="24"/>
          <w:szCs w:val="24"/>
        </w:rPr>
        <w:t>a</w:t>
      </w:r>
      <w:r w:rsidR="00FE4D4E" w:rsidRPr="5BD0CF6B">
        <w:rPr>
          <w:rFonts w:ascii="Times New Roman" w:hAnsi="Times New Roman"/>
          <w:sz w:val="24"/>
          <w:szCs w:val="24"/>
        </w:rPr>
        <w:t xml:space="preserve"> nakon zaključenja pomoći iz Fonda solidarnosti Europske unije</w:t>
      </w:r>
      <w:r w:rsidR="3FA3A55F" w:rsidRPr="5BD0CF6B">
        <w:rPr>
          <w:rFonts w:ascii="Times New Roman" w:hAnsi="Times New Roman"/>
          <w:sz w:val="24"/>
          <w:szCs w:val="24"/>
        </w:rPr>
        <w:t>.</w:t>
      </w:r>
      <w:r w:rsidR="00FE4D4E" w:rsidRPr="5BD0CF6B">
        <w:rPr>
          <w:rFonts w:ascii="Times New Roman" w:hAnsi="Times New Roman"/>
          <w:sz w:val="24"/>
          <w:szCs w:val="24"/>
        </w:rPr>
        <w:t xml:space="preserv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4C6AD15D" w:rsidR="00A64959" w:rsidRPr="00020E6F" w:rsidRDefault="00544670"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7AC7094C" w14:textId="77777777" w:rsidR="00413DB6" w:rsidRPr="004B2AFA" w:rsidRDefault="00413DB6" w:rsidP="00544670">
      <w:pPr>
        <w:pStyle w:val="bullets"/>
        <w:numPr>
          <w:ilvl w:val="3"/>
          <w:numId w:val="14"/>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40BC9628"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DD94597"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4F6927"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881D8F5"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86CF608" w14:textId="3EE452A2"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troškova prijevoza</w:t>
      </w:r>
      <w:r w:rsidR="00AB05E2">
        <w:rPr>
          <w:rFonts w:ascii="Times New Roman" w:hAnsi="Times New Roman" w:cs="Times New Roman"/>
          <w:sz w:val="24"/>
          <w:szCs w:val="24"/>
          <w:lang w:val="hr-HR"/>
        </w:rPr>
        <w:t>;</w:t>
      </w:r>
    </w:p>
    <w:p w14:paraId="0727989B"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151623FD"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kazne, financijske globe, troškovi povezani s </w:t>
      </w:r>
      <w:proofErr w:type="spellStart"/>
      <w:r w:rsidRPr="004B2AFA">
        <w:rPr>
          <w:rFonts w:ascii="Times New Roman" w:hAnsi="Times New Roman" w:cs="Times New Roman"/>
          <w:sz w:val="24"/>
          <w:szCs w:val="24"/>
          <w:lang w:val="hr-HR"/>
        </w:rPr>
        <w:t>predstečajem</w:t>
      </w:r>
      <w:proofErr w:type="spellEnd"/>
      <w:r w:rsidRPr="004B2AFA">
        <w:rPr>
          <w:rFonts w:ascii="Times New Roman" w:hAnsi="Times New Roman" w:cs="Times New Roman"/>
          <w:sz w:val="24"/>
          <w:szCs w:val="24"/>
          <w:lang w:val="hr-HR"/>
        </w:rPr>
        <w:t>, stečajem i likvidacijom;</w:t>
      </w:r>
    </w:p>
    <w:p w14:paraId="0D6F64CC"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057AAF51"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EA47BA9"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1728D5F1"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14A44656" w14:textId="738587F9"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odgovarajuće iste dokazne vrijednosti</w:t>
      </w:r>
      <w:r w:rsidR="00AB05E2">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w:t>
      </w:r>
    </w:p>
    <w:p w14:paraId="7D2B052A"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767217BD"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120594B1"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7B25F47B"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7A211CFF" w14:textId="77777777" w:rsidR="00413DB6" w:rsidRPr="004B2AFA"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29B78E35" w14:textId="56A72403" w:rsidR="005D7350" w:rsidRDefault="00413DB6"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sidR="005D7350">
        <w:rPr>
          <w:rFonts w:ascii="Times New Roman" w:hAnsi="Times New Roman" w:cs="Times New Roman"/>
          <w:sz w:val="24"/>
          <w:szCs w:val="24"/>
          <w:lang w:val="hr-HR"/>
        </w:rPr>
        <w:t>;</w:t>
      </w:r>
    </w:p>
    <w:p w14:paraId="651D6426" w14:textId="46076227" w:rsidR="00BC1817" w:rsidRDefault="00BC1817" w:rsidP="00544670">
      <w:pPr>
        <w:pStyle w:val="bullets"/>
        <w:numPr>
          <w:ilvl w:val="0"/>
          <w:numId w:val="14"/>
        </w:numPr>
        <w:spacing w:before="100" w:beforeAutospacing="1" w:after="100" w:afterAutospacing="1"/>
        <w:ind w:hanging="294"/>
        <w:jc w:val="both"/>
        <w:rPr>
          <w:rFonts w:ascii="Times New Roman" w:hAnsi="Times New Roman" w:cs="Times New Roman"/>
          <w:sz w:val="24"/>
          <w:szCs w:val="24"/>
          <w:lang w:val="hr-HR"/>
        </w:rPr>
      </w:pPr>
      <w:r>
        <w:rPr>
          <w:rFonts w:ascii="Times New Roman" w:hAnsi="Times New Roman" w:cs="Times New Roman"/>
          <w:sz w:val="24"/>
          <w:szCs w:val="24"/>
          <w:lang w:val="hr-HR"/>
        </w:rPr>
        <w:t>troškovi nabave opreme;</w:t>
      </w:r>
    </w:p>
    <w:p w14:paraId="244D58AC" w14:textId="076AB56B" w:rsidR="008F11B1" w:rsidRPr="0039195A" w:rsidRDefault="0039195A" w:rsidP="0039195A">
      <w:pPr>
        <w:pStyle w:val="bullets"/>
        <w:numPr>
          <w:ilvl w:val="0"/>
          <w:numId w:val="14"/>
        </w:numPr>
        <w:spacing w:line="276" w:lineRule="auto"/>
        <w:ind w:hanging="294"/>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troškovi </w:t>
      </w:r>
      <w:r w:rsidR="00E51EED">
        <w:rPr>
          <w:rFonts w:ascii="Times New Roman" w:hAnsi="Times New Roman" w:cs="Times New Roman"/>
          <w:sz w:val="24"/>
          <w:szCs w:val="24"/>
          <w:lang w:val="hr-HR"/>
        </w:rPr>
        <w:t>ishođenja</w:t>
      </w:r>
      <w:r w:rsidRPr="006462E0">
        <w:t xml:space="preserve"> </w:t>
      </w:r>
      <w:r w:rsidRPr="006462E0">
        <w:rPr>
          <w:rFonts w:ascii="Times New Roman" w:hAnsi="Times New Roman" w:cs="Times New Roman"/>
          <w:sz w:val="24"/>
          <w:szCs w:val="24"/>
          <w:lang w:val="hr-HR"/>
        </w:rPr>
        <w:t>potrebnih prethodnih suglasnosti ili akata</w:t>
      </w:r>
      <w:r>
        <w:rPr>
          <w:rFonts w:ascii="Times New Roman" w:hAnsi="Times New Roman" w:cs="Times New Roman"/>
          <w:sz w:val="24"/>
          <w:szCs w:val="24"/>
          <w:lang w:val="hr-HR"/>
        </w:rPr>
        <w:t xml:space="preserve"> i sl.;</w:t>
      </w:r>
    </w:p>
    <w:p w14:paraId="58F9BF61" w14:textId="2FFA59FD" w:rsidR="005D7350" w:rsidRPr="004C3FE2" w:rsidRDefault="4C661D6B" w:rsidP="00544670">
      <w:pPr>
        <w:pStyle w:val="Odlomakpopisa"/>
        <w:numPr>
          <w:ilvl w:val="0"/>
          <w:numId w:val="14"/>
        </w:numPr>
        <w:spacing w:after="160" w:line="259" w:lineRule="auto"/>
        <w:ind w:hanging="294"/>
        <w:jc w:val="both"/>
        <w:rPr>
          <w:rFonts w:ascii="Times New Roman" w:hAnsi="Times New Roman"/>
          <w:sz w:val="24"/>
          <w:szCs w:val="24"/>
        </w:rPr>
      </w:pPr>
      <w:r w:rsidRPr="5BD0CF6B">
        <w:rPr>
          <w:rFonts w:ascii="Times New Roman" w:hAnsi="Times New Roman"/>
          <w:color w:val="000000" w:themeColor="text1"/>
          <w:sz w:val="24"/>
          <w:szCs w:val="24"/>
        </w:rPr>
        <w:t>troškovi koji nisu povezani s</w:t>
      </w:r>
      <w:r w:rsidR="004C3FE2">
        <w:rPr>
          <w:rFonts w:ascii="Times New Roman" w:hAnsi="Times New Roman"/>
          <w:color w:val="000000" w:themeColor="text1"/>
          <w:sz w:val="24"/>
          <w:szCs w:val="24"/>
        </w:rPr>
        <w:t>a</w:t>
      </w:r>
      <w:r w:rsidRPr="5BD0CF6B">
        <w:rPr>
          <w:rFonts w:ascii="Times New Roman" w:hAnsi="Times New Roman"/>
          <w:color w:val="000000" w:themeColor="text1"/>
          <w:sz w:val="24"/>
          <w:szCs w:val="24"/>
        </w:rPr>
        <w:t xml:space="preserve"> svrhom </w:t>
      </w:r>
      <w:r w:rsidRPr="004C3FE2">
        <w:rPr>
          <w:rFonts w:ascii="Times New Roman" w:hAnsi="Times New Roman"/>
          <w:sz w:val="24"/>
          <w:szCs w:val="24"/>
        </w:rPr>
        <w:t>operacije</w:t>
      </w:r>
      <w:r w:rsidR="009F03AD">
        <w:rPr>
          <w:rFonts w:ascii="Times New Roman" w:hAnsi="Times New Roman"/>
          <w:sz w:val="24"/>
          <w:szCs w:val="24"/>
        </w:rPr>
        <w:t>;</w:t>
      </w:r>
      <w:r w:rsidRPr="004C3FE2">
        <w:rPr>
          <w:rFonts w:ascii="Times New Roman" w:hAnsi="Times New Roman"/>
          <w:sz w:val="24"/>
          <w:szCs w:val="24"/>
        </w:rPr>
        <w:t xml:space="preserve"> </w:t>
      </w:r>
    </w:p>
    <w:p w14:paraId="3099D5BF" w14:textId="559A9418" w:rsidR="001D4D97" w:rsidRPr="00E51EED" w:rsidRDefault="004C3FE2" w:rsidP="00E51EED">
      <w:pPr>
        <w:pStyle w:val="Odlomakpopisa"/>
        <w:numPr>
          <w:ilvl w:val="0"/>
          <w:numId w:val="14"/>
        </w:numPr>
        <w:spacing w:after="160" w:line="259" w:lineRule="auto"/>
        <w:ind w:hanging="294"/>
        <w:jc w:val="both"/>
        <w:rPr>
          <w:rFonts w:ascii="Times New Roman" w:hAnsi="Times New Roman"/>
          <w:sz w:val="24"/>
          <w:szCs w:val="24"/>
        </w:rPr>
      </w:pPr>
      <w:r w:rsidRPr="004C3FE2">
        <w:rPr>
          <w:rFonts w:ascii="Times New Roman" w:hAnsi="Times New Roman"/>
          <w:sz w:val="24"/>
          <w:szCs w:val="24"/>
        </w:rPr>
        <w:t>troškovi nastali prije 22. ožujka 2020. godine</w:t>
      </w:r>
      <w:r w:rsidR="00A07248">
        <w:rPr>
          <w:rFonts w:ascii="Times New Roman" w:hAnsi="Times New Roman"/>
          <w:sz w:val="24"/>
          <w:szCs w:val="24"/>
        </w:rPr>
        <w:t>.</w:t>
      </w: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lastRenderedPageBreak/>
        <w:t xml:space="preserve"> </w:t>
      </w:r>
    </w:p>
    <w:p w14:paraId="58D35A9E" w14:textId="12F4920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16FF3B6" w14:textId="75248814" w:rsidR="00161123" w:rsidRPr="00FA3151" w:rsidRDefault="006F0D74" w:rsidP="006F0D74">
      <w:pPr>
        <w:tabs>
          <w:tab w:val="left" w:pos="567"/>
        </w:tabs>
        <w:spacing w:after="0" w:line="240" w:lineRule="auto"/>
        <w:ind w:left="567" w:hanging="567"/>
        <w:jc w:val="both"/>
        <w:outlineLvl w:val="0"/>
        <w:rPr>
          <w:rFonts w:ascii="Times New Roman" w:hAnsi="Times New Roman"/>
          <w:iCs/>
          <w:sz w:val="24"/>
          <w:szCs w:val="24"/>
        </w:rPr>
      </w:pPr>
      <w:r>
        <w:rPr>
          <w:rFonts w:ascii="Times New Roman" w:hAnsi="Times New Roman"/>
          <w:iCs/>
          <w:sz w:val="24"/>
          <w:szCs w:val="24"/>
        </w:rPr>
        <w:t>6.1.</w:t>
      </w:r>
      <w:r>
        <w:rPr>
          <w:rFonts w:ascii="Times New Roman" w:hAnsi="Times New Roman"/>
          <w:iCs/>
          <w:sz w:val="24"/>
          <w:szCs w:val="24"/>
        </w:rPr>
        <w:tab/>
      </w:r>
      <w:r w:rsidR="00161123" w:rsidRPr="00FA3151">
        <w:rPr>
          <w:rFonts w:ascii="Times New Roman" w:hAnsi="Times New Roman"/>
          <w:iCs/>
          <w:sz w:val="24"/>
          <w:szCs w:val="24"/>
        </w:rPr>
        <w:t xml:space="preserve">Korisnik mora poduzeti najmanje jednu mjeru obavještavanja javnosti koja treba biti usmjerena na korisnike rezultata operacije, a ako je prikladno, na javnost i medije. </w:t>
      </w:r>
    </w:p>
    <w:p w14:paraId="4EE560F6" w14:textId="77777777" w:rsidR="00161123" w:rsidRPr="00FA3151" w:rsidRDefault="00161123" w:rsidP="00161123">
      <w:pPr>
        <w:tabs>
          <w:tab w:val="left" w:pos="567"/>
        </w:tabs>
        <w:spacing w:after="0" w:line="240" w:lineRule="auto"/>
        <w:jc w:val="both"/>
        <w:outlineLvl w:val="0"/>
        <w:rPr>
          <w:rFonts w:ascii="Times New Roman" w:hAnsi="Times New Roman"/>
          <w:iCs/>
          <w:sz w:val="24"/>
          <w:szCs w:val="24"/>
        </w:rPr>
      </w:pPr>
    </w:p>
    <w:p w14:paraId="50C5A105" w14:textId="77777777" w:rsidR="00161123" w:rsidRPr="00FA3151" w:rsidRDefault="00161123" w:rsidP="001F1F75">
      <w:pPr>
        <w:tabs>
          <w:tab w:val="left" w:pos="567"/>
        </w:tabs>
        <w:spacing w:after="0" w:line="240" w:lineRule="auto"/>
        <w:ind w:left="567"/>
        <w:jc w:val="both"/>
        <w:outlineLvl w:val="0"/>
        <w:rPr>
          <w:rFonts w:ascii="Times New Roman" w:hAnsi="Times New Roman"/>
          <w:iCs/>
          <w:sz w:val="24"/>
          <w:szCs w:val="24"/>
        </w:rPr>
      </w:pPr>
      <w:r w:rsidRPr="00FA3151">
        <w:rPr>
          <w:rFonts w:ascii="Times New Roman" w:hAnsi="Times New Roman"/>
          <w:iCs/>
          <w:sz w:val="24"/>
          <w:szCs w:val="24"/>
        </w:rPr>
        <w:t>Korisnik može vlastitim sredstvima provoditi ili sudjelovati u oglašavanju i mjerama osiguravanja javnosti i vidljivosti sukladno članku 9. Općih uvjeta ovog Ugovora.</w:t>
      </w:r>
    </w:p>
    <w:p w14:paraId="48BF2CFC" w14:textId="77777777" w:rsidR="00161123" w:rsidRPr="00FA3151" w:rsidRDefault="00161123" w:rsidP="00161123">
      <w:pPr>
        <w:tabs>
          <w:tab w:val="left" w:pos="567"/>
        </w:tabs>
        <w:spacing w:after="0" w:line="240" w:lineRule="auto"/>
        <w:jc w:val="both"/>
        <w:outlineLvl w:val="0"/>
        <w:rPr>
          <w:rFonts w:ascii="Times New Roman" w:hAnsi="Times New Roman"/>
          <w:iCs/>
          <w:sz w:val="24"/>
          <w:szCs w:val="24"/>
        </w:rPr>
      </w:pPr>
    </w:p>
    <w:p w14:paraId="6FDD103A" w14:textId="692D9629" w:rsidR="00A64959" w:rsidRPr="00020E6F" w:rsidRDefault="00161123" w:rsidP="001F1F75">
      <w:pPr>
        <w:tabs>
          <w:tab w:val="left" w:pos="567"/>
        </w:tabs>
        <w:spacing w:after="0" w:line="240" w:lineRule="auto"/>
        <w:ind w:left="567"/>
        <w:jc w:val="both"/>
        <w:outlineLvl w:val="0"/>
        <w:rPr>
          <w:rFonts w:ascii="Times New Roman" w:hAnsi="Times New Roman"/>
          <w:sz w:val="24"/>
          <w:szCs w:val="24"/>
        </w:rPr>
      </w:pPr>
      <w:r w:rsidRPr="00FA3151">
        <w:rPr>
          <w:rFonts w:ascii="Times New Roman" w:hAnsi="Times New Roman"/>
          <w:iCs/>
          <w:sz w:val="24"/>
          <w:szCs w:val="24"/>
        </w:rPr>
        <w:t>Odredbe članka 9. stavka 9.1. i 9.2. Općih uvjeta ovog Ugovora nisu obvezujuće za Korisnika.</w:t>
      </w:r>
    </w:p>
    <w:p w14:paraId="0EC46CE5" w14:textId="20D8A91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2DC4FBE" w14:textId="77777777" w:rsidR="00AD04BE" w:rsidRDefault="00AD04BE"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75DDE3DA" w:rsidR="00A64959" w:rsidRDefault="007B554D" w:rsidP="00AD4A2E">
      <w:pPr>
        <w:spacing w:after="0" w:line="240" w:lineRule="auto"/>
        <w:ind w:left="567" w:hanging="567"/>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AD4A2E">
        <w:rPr>
          <w:rFonts w:ascii="Times New Roman" w:hAnsi="Times New Roman"/>
          <w:sz w:val="24"/>
          <w:szCs w:val="24"/>
        </w:rPr>
        <w:tab/>
      </w:r>
      <w:r w:rsidR="002E4F3F" w:rsidRPr="00AF7D03">
        <w:rPr>
          <w:rFonts w:ascii="Times New Roman" w:hAnsi="Times New Roman"/>
          <w:i/>
          <w:sz w:val="24"/>
          <w:szCs w:val="24"/>
        </w:rPr>
        <w:t>&lt;ako je primjenjivo&gt;</w:t>
      </w:r>
      <w:r w:rsidR="002E4F3F">
        <w:rPr>
          <w:rFonts w:ascii="Times New Roman" w:hAnsi="Times New Roman"/>
          <w:i/>
          <w:sz w:val="24"/>
          <w:szCs w:val="24"/>
        </w:rPr>
        <w:t xml:space="preserve"> </w:t>
      </w:r>
      <w:r w:rsidR="00A64959" w:rsidRPr="00020E6F">
        <w:rPr>
          <w:rFonts w:ascii="Times New Roman" w:hAnsi="Times New Roman"/>
          <w:sz w:val="24"/>
          <w:szCs w:val="24"/>
        </w:rPr>
        <w:t xml:space="preserve">Imovina koja je stečena u </w:t>
      </w:r>
      <w:r>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45B3D10" w14:textId="3CDA3C3F" w:rsidR="00355DD6" w:rsidRPr="00250FA2" w:rsidRDefault="007B554D" w:rsidP="003C78C3">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w:t>
      </w:r>
      <w:r w:rsidR="00A64959" w:rsidRPr="00250FA2">
        <w:rPr>
          <w:rFonts w:ascii="Times New Roman" w:hAnsi="Times New Roman"/>
          <w:sz w:val="24"/>
          <w:szCs w:val="24"/>
        </w:rPr>
        <w:t>.2.</w:t>
      </w:r>
      <w:r w:rsidR="00AD4A2E">
        <w:rPr>
          <w:rFonts w:ascii="Times New Roman" w:hAnsi="Times New Roman"/>
          <w:sz w:val="24"/>
          <w:szCs w:val="24"/>
        </w:rPr>
        <w:tab/>
      </w:r>
      <w:r w:rsidR="009F5C53" w:rsidRPr="00AF7D03">
        <w:rPr>
          <w:rFonts w:ascii="Times New Roman" w:hAnsi="Times New Roman"/>
          <w:i/>
          <w:sz w:val="24"/>
          <w:szCs w:val="24"/>
        </w:rPr>
        <w:t>&lt;ako je primjenjivo&gt;</w:t>
      </w:r>
      <w:r w:rsidR="009F5C53" w:rsidRPr="00020E6F">
        <w:rPr>
          <w:rFonts w:ascii="Times New Roman" w:hAnsi="Times New Roman"/>
          <w:sz w:val="24"/>
          <w:szCs w:val="24"/>
        </w:rPr>
        <w:t xml:space="preserve"> </w:t>
      </w:r>
      <w:r w:rsidR="009F5C53">
        <w:rPr>
          <w:rFonts w:ascii="Times New Roman" w:hAnsi="Times New Roman"/>
          <w:sz w:val="24"/>
          <w:szCs w:val="24"/>
        </w:rPr>
        <w:t>Ako</w:t>
      </w:r>
      <w:r w:rsidR="009F5C53" w:rsidRPr="00355DD6">
        <w:rPr>
          <w:rFonts w:ascii="Times New Roman" w:hAnsi="Times New Roman"/>
          <w:sz w:val="24"/>
          <w:szCs w:val="24"/>
        </w:rPr>
        <w:t xml:space="preserve"> se imovina iz </w:t>
      </w:r>
      <w:r w:rsidR="009F5C53">
        <w:rPr>
          <w:rFonts w:ascii="Times New Roman" w:hAnsi="Times New Roman"/>
          <w:sz w:val="24"/>
          <w:szCs w:val="24"/>
        </w:rPr>
        <w:t>stavka</w:t>
      </w:r>
      <w:r w:rsidR="009F5C53" w:rsidRPr="00355DD6">
        <w:rPr>
          <w:rFonts w:ascii="Times New Roman" w:hAnsi="Times New Roman"/>
          <w:sz w:val="24"/>
          <w:szCs w:val="24"/>
        </w:rPr>
        <w:t xml:space="preserve"> </w:t>
      </w:r>
      <w:r w:rsidR="009F5C53">
        <w:rPr>
          <w:rFonts w:ascii="Times New Roman" w:hAnsi="Times New Roman"/>
          <w:sz w:val="24"/>
          <w:szCs w:val="24"/>
        </w:rPr>
        <w:t>7</w:t>
      </w:r>
      <w:r w:rsidR="009F5C53" w:rsidRPr="00355DD6">
        <w:rPr>
          <w:rFonts w:ascii="Times New Roman" w:hAnsi="Times New Roman"/>
          <w:sz w:val="24"/>
          <w:szCs w:val="24"/>
        </w:rPr>
        <w:t xml:space="preserve">.1. ovoga članka prenosi </w:t>
      </w:r>
      <w:r w:rsidR="009F5C53">
        <w:rPr>
          <w:rFonts w:ascii="Times New Roman" w:hAnsi="Times New Roman"/>
          <w:sz w:val="24"/>
          <w:szCs w:val="24"/>
        </w:rPr>
        <w:t xml:space="preserve">na </w:t>
      </w:r>
      <w:r w:rsidR="009F5C53" w:rsidRPr="00355DD6">
        <w:rPr>
          <w:rFonts w:ascii="Times New Roman" w:hAnsi="Times New Roman"/>
          <w:sz w:val="24"/>
          <w:szCs w:val="24"/>
        </w:rPr>
        <w:t xml:space="preserve">treće strane, potrebno je navesti podatke o pisanom sporazumu kojim se uređuje pitanje predmetnog prijenosa te ga priložiti </w:t>
      </w:r>
      <w:r w:rsidR="009F5C53">
        <w:rPr>
          <w:rFonts w:ascii="Times New Roman" w:hAnsi="Times New Roman"/>
          <w:sz w:val="24"/>
          <w:szCs w:val="24"/>
        </w:rPr>
        <w:t>ovom Ugovoru.</w:t>
      </w:r>
    </w:p>
    <w:p w14:paraId="0AF81BB9" w14:textId="77777777" w:rsidR="00BD7523" w:rsidRPr="00250FA2" w:rsidRDefault="00BD7523" w:rsidP="005A4D19">
      <w:pPr>
        <w:spacing w:after="0" w:line="240" w:lineRule="auto"/>
        <w:jc w:val="both"/>
        <w:rPr>
          <w:rFonts w:ascii="Times New Roman" w:hAnsi="Times New Roman"/>
          <w:sz w:val="24"/>
          <w:szCs w:val="24"/>
        </w:rPr>
      </w:pPr>
    </w:p>
    <w:p w14:paraId="2C4272D8" w14:textId="1B461FF2" w:rsidR="00BD7523" w:rsidRPr="00250FA2" w:rsidRDefault="00BD7523" w:rsidP="00C42958">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7.3.</w:t>
      </w:r>
      <w:r w:rsidR="00AD4A2E">
        <w:rPr>
          <w:rFonts w:ascii="Times New Roman" w:hAnsi="Times New Roman"/>
          <w:sz w:val="24"/>
          <w:szCs w:val="24"/>
        </w:rPr>
        <w:tab/>
      </w:r>
      <w:r w:rsidR="00542DA4" w:rsidRPr="00AF7D03">
        <w:rPr>
          <w:rFonts w:ascii="Times New Roman" w:hAnsi="Times New Roman"/>
          <w:i/>
          <w:sz w:val="24"/>
          <w:szCs w:val="24"/>
        </w:rPr>
        <w:t>&lt;ako je primjenjivo&gt;</w:t>
      </w:r>
      <w:r w:rsidR="00542DA4" w:rsidRPr="00020E6F">
        <w:rPr>
          <w:rFonts w:ascii="Times New Roman" w:hAnsi="Times New Roman"/>
          <w:sz w:val="24"/>
          <w:szCs w:val="24"/>
        </w:rPr>
        <w:t xml:space="preserve"> </w:t>
      </w:r>
      <w:r w:rsidR="00542DA4">
        <w:rPr>
          <w:rFonts w:ascii="Times New Roman" w:hAnsi="Times New Roman"/>
          <w:sz w:val="24"/>
          <w:szCs w:val="24"/>
        </w:rPr>
        <w:t>O</w:t>
      </w:r>
      <w:r w:rsidR="00542DA4" w:rsidRPr="00355DD6">
        <w:rPr>
          <w:rFonts w:ascii="Times New Roman" w:hAnsi="Times New Roman"/>
          <w:sz w:val="24"/>
          <w:szCs w:val="24"/>
        </w:rPr>
        <w:t xml:space="preserve">visno o procijenjenom riziku koji se odnosi na zahtjeve za osiguranjem: navesti uvjete za osiguranje imovine stečene u </w:t>
      </w:r>
      <w:r w:rsidR="00542DA4">
        <w:rPr>
          <w:rFonts w:ascii="Times New Roman" w:hAnsi="Times New Roman"/>
          <w:sz w:val="24"/>
          <w:szCs w:val="24"/>
        </w:rPr>
        <w:t>Operaciji</w:t>
      </w:r>
      <w:r w:rsidR="00542DA4" w:rsidRPr="00355DD6">
        <w:rPr>
          <w:rFonts w:ascii="Times New Roman" w:hAnsi="Times New Roman"/>
          <w:sz w:val="24"/>
          <w:szCs w:val="24"/>
        </w:rPr>
        <w:t xml:space="preserve"> iz </w:t>
      </w:r>
      <w:r w:rsidR="00542DA4">
        <w:rPr>
          <w:rFonts w:ascii="Times New Roman" w:hAnsi="Times New Roman"/>
          <w:sz w:val="24"/>
          <w:szCs w:val="24"/>
        </w:rPr>
        <w:t>stavka</w:t>
      </w:r>
      <w:r w:rsidR="00542DA4" w:rsidRPr="00355DD6">
        <w:rPr>
          <w:rFonts w:ascii="Times New Roman" w:hAnsi="Times New Roman"/>
          <w:sz w:val="24"/>
          <w:szCs w:val="24"/>
        </w:rPr>
        <w:t xml:space="preserve"> </w:t>
      </w:r>
      <w:r w:rsidR="00542DA4">
        <w:rPr>
          <w:rFonts w:ascii="Times New Roman" w:hAnsi="Times New Roman"/>
          <w:sz w:val="24"/>
          <w:szCs w:val="24"/>
        </w:rPr>
        <w:t>7</w:t>
      </w:r>
      <w:r w:rsidR="00542DA4" w:rsidRPr="00355DD6">
        <w:rPr>
          <w:rFonts w:ascii="Times New Roman" w:hAnsi="Times New Roman"/>
          <w:sz w:val="24"/>
          <w:szCs w:val="24"/>
        </w:rPr>
        <w:t>.1. ovoga članka.</w:t>
      </w:r>
    </w:p>
    <w:p w14:paraId="2C17C844" w14:textId="276AA91A" w:rsidR="008C65F4" w:rsidRPr="00250FA2" w:rsidRDefault="008C65F4" w:rsidP="005A4D19">
      <w:pPr>
        <w:spacing w:after="0" w:line="240" w:lineRule="auto"/>
        <w:jc w:val="both"/>
        <w:rPr>
          <w:rFonts w:ascii="Times New Roman" w:hAnsi="Times New Roman"/>
          <w:sz w:val="24"/>
          <w:szCs w:val="24"/>
        </w:rPr>
      </w:pPr>
    </w:p>
    <w:p w14:paraId="41E62077" w14:textId="5C7AA377" w:rsidR="008C65F4" w:rsidRDefault="00BD7523" w:rsidP="00375B22">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7.4.</w:t>
      </w:r>
      <w:r w:rsidR="003C78C3">
        <w:rPr>
          <w:rFonts w:ascii="Times New Roman" w:hAnsi="Times New Roman"/>
          <w:sz w:val="24"/>
          <w:szCs w:val="24"/>
        </w:rPr>
        <w:tab/>
      </w:r>
      <w:r w:rsidR="00C66801" w:rsidRPr="00AF7D03">
        <w:rPr>
          <w:rFonts w:ascii="Times New Roman" w:hAnsi="Times New Roman"/>
          <w:i/>
          <w:sz w:val="24"/>
          <w:szCs w:val="24"/>
        </w:rPr>
        <w:t>&lt;ako je primjenjivo&gt;</w:t>
      </w:r>
      <w:r w:rsidR="00C66801" w:rsidRPr="00020E6F">
        <w:rPr>
          <w:rFonts w:ascii="Times New Roman" w:hAnsi="Times New Roman"/>
          <w:sz w:val="24"/>
          <w:szCs w:val="24"/>
        </w:rPr>
        <w:t xml:space="preserve"> Pravo vlasništva i druga stvarna prava, kao i imovinska prava, ne smiju se prenositi na treće osobe </w:t>
      </w:r>
      <w:r w:rsidR="00C66801" w:rsidRPr="00355DD6">
        <w:rPr>
          <w:rFonts w:ascii="Times New Roman" w:hAnsi="Times New Roman"/>
          <w:i/>
          <w:sz w:val="24"/>
          <w:szCs w:val="24"/>
        </w:rPr>
        <w:t>&lt;umetnuti&gt;</w:t>
      </w:r>
      <w:r w:rsidR="00C66801" w:rsidRPr="00020E6F">
        <w:rPr>
          <w:rFonts w:ascii="Times New Roman" w:hAnsi="Times New Roman"/>
          <w:sz w:val="24"/>
          <w:szCs w:val="24"/>
        </w:rPr>
        <w:t xml:space="preserve"> godina nakon završetka razdoblja provedbe </w:t>
      </w:r>
      <w:r w:rsidR="00C66801">
        <w:rPr>
          <w:rFonts w:ascii="Times New Roman" w:hAnsi="Times New Roman"/>
          <w:sz w:val="24"/>
          <w:szCs w:val="24"/>
        </w:rPr>
        <w:t>operacije</w:t>
      </w:r>
      <w:r w:rsidR="00C66801" w:rsidRPr="00020E6F">
        <w:rPr>
          <w:rFonts w:ascii="Times New Roman" w:hAnsi="Times New Roman"/>
          <w:sz w:val="24"/>
          <w:szCs w:val="24"/>
        </w:rPr>
        <w:t>.</w:t>
      </w:r>
    </w:p>
    <w:p w14:paraId="67DE00BE" w14:textId="4ACF642C" w:rsidR="00C66801" w:rsidRDefault="00C66801" w:rsidP="00375B22">
      <w:pPr>
        <w:spacing w:after="0" w:line="240" w:lineRule="auto"/>
        <w:ind w:left="567" w:hanging="567"/>
        <w:jc w:val="both"/>
        <w:rPr>
          <w:rFonts w:ascii="Times New Roman" w:hAnsi="Times New Roman"/>
          <w:sz w:val="24"/>
          <w:szCs w:val="24"/>
        </w:rPr>
      </w:pPr>
    </w:p>
    <w:p w14:paraId="1142BC16" w14:textId="69F69A04" w:rsidR="00C66801" w:rsidRDefault="00C66801" w:rsidP="00375B22">
      <w:pPr>
        <w:spacing w:after="0" w:line="240" w:lineRule="auto"/>
        <w:ind w:left="567" w:hanging="567"/>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sidR="001E748C" w:rsidRPr="00AF7D03">
        <w:rPr>
          <w:rFonts w:ascii="Times New Roman" w:hAnsi="Times New Roman"/>
          <w:i/>
          <w:sz w:val="24"/>
          <w:szCs w:val="24"/>
        </w:rPr>
        <w:t>&lt;ako je primjenjivo&gt;</w:t>
      </w:r>
      <w:r w:rsidR="001E748C" w:rsidRPr="00020E6F">
        <w:rPr>
          <w:rFonts w:ascii="Times New Roman" w:hAnsi="Times New Roman"/>
          <w:sz w:val="24"/>
          <w:szCs w:val="24"/>
        </w:rPr>
        <w:t xml:space="preserve"> Dodatni uvjeti u pog</w:t>
      </w:r>
      <w:r w:rsidR="001E748C">
        <w:rPr>
          <w:rFonts w:ascii="Times New Roman" w:hAnsi="Times New Roman"/>
          <w:sz w:val="24"/>
          <w:szCs w:val="24"/>
        </w:rPr>
        <w:t>ledu prijenosa imovinskih prava.</w:t>
      </w:r>
    </w:p>
    <w:p w14:paraId="347F7DDF" w14:textId="1A0C9580" w:rsidR="001E748C" w:rsidRDefault="001E748C" w:rsidP="00375B22">
      <w:pPr>
        <w:spacing w:after="0" w:line="240" w:lineRule="auto"/>
        <w:ind w:left="567" w:hanging="567"/>
        <w:jc w:val="both"/>
        <w:rPr>
          <w:rFonts w:ascii="Times New Roman" w:hAnsi="Times New Roman"/>
          <w:sz w:val="24"/>
          <w:szCs w:val="24"/>
        </w:rPr>
      </w:pPr>
    </w:p>
    <w:p w14:paraId="6FD01FE5" w14:textId="0DA571DC" w:rsidR="001E748C" w:rsidRDefault="001E748C" w:rsidP="00375B22">
      <w:pPr>
        <w:spacing w:after="0" w:line="240" w:lineRule="auto"/>
        <w:ind w:left="567" w:hanging="567"/>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r>
      <w:r w:rsidR="00BC22CB" w:rsidRPr="00AF7D03">
        <w:rPr>
          <w:rFonts w:ascii="Times New Roman" w:hAnsi="Times New Roman"/>
          <w:i/>
          <w:sz w:val="24"/>
          <w:szCs w:val="24"/>
        </w:rPr>
        <w:t>&lt;ako je primjenjivo&gt;</w:t>
      </w:r>
      <w:r w:rsidR="00DD4EDF">
        <w:rPr>
          <w:rFonts w:ascii="Times New Roman" w:hAnsi="Times New Roman"/>
          <w:sz w:val="24"/>
          <w:szCs w:val="24"/>
        </w:rPr>
        <w:t xml:space="preserve"> </w:t>
      </w:r>
      <w:bookmarkStart w:id="0" w:name="_GoBack"/>
      <w:bookmarkEnd w:id="0"/>
      <w:r w:rsidR="00F217DC" w:rsidRPr="00F217DC">
        <w:rPr>
          <w:rFonts w:ascii="Times New Roman" w:hAnsi="Times New Roman"/>
          <w:sz w:val="24"/>
          <w:szCs w:val="24"/>
        </w:rPr>
        <w:t>Ako je odobren prijenos ugovora o dodjeli bespovratnih financijskih sredstava, u skladu s Općim uvjetima ovog Ugovora, pisani sporazum kojim se uređuje pitanje predmetnog prijenosa prilaže se ovom Ugovoru.</w:t>
      </w:r>
    </w:p>
    <w:p w14:paraId="40537215" w14:textId="5C4C58D5" w:rsidR="00F217DC" w:rsidRDefault="00F217DC" w:rsidP="00375B22">
      <w:pPr>
        <w:spacing w:after="0" w:line="240" w:lineRule="auto"/>
        <w:ind w:left="567" w:hanging="567"/>
        <w:jc w:val="both"/>
        <w:rPr>
          <w:rFonts w:ascii="Times New Roman" w:hAnsi="Times New Roman"/>
          <w:sz w:val="24"/>
          <w:szCs w:val="24"/>
        </w:rPr>
      </w:pPr>
    </w:p>
    <w:p w14:paraId="77F8DA70" w14:textId="04017419" w:rsidR="00F217DC" w:rsidRPr="00250FA2" w:rsidRDefault="00F217DC" w:rsidP="00375B22">
      <w:pPr>
        <w:spacing w:after="0" w:line="240" w:lineRule="auto"/>
        <w:ind w:left="567" w:hanging="567"/>
        <w:jc w:val="both"/>
        <w:rPr>
          <w:rFonts w:ascii="Times New Roman" w:hAnsi="Times New Roman"/>
          <w:sz w:val="24"/>
          <w:szCs w:val="24"/>
        </w:rPr>
      </w:pPr>
      <w:r>
        <w:rPr>
          <w:rFonts w:ascii="Times New Roman" w:hAnsi="Times New Roman"/>
          <w:sz w:val="24"/>
          <w:szCs w:val="24"/>
        </w:rPr>
        <w:t>7.7.</w:t>
      </w:r>
      <w:r>
        <w:rPr>
          <w:rFonts w:ascii="Times New Roman" w:hAnsi="Times New Roman"/>
          <w:sz w:val="24"/>
          <w:szCs w:val="24"/>
        </w:rPr>
        <w:tab/>
      </w:r>
      <w:r w:rsidR="007161FA" w:rsidRPr="00AF7D03">
        <w:rPr>
          <w:rFonts w:ascii="Times New Roman" w:hAnsi="Times New Roman"/>
          <w:i/>
          <w:sz w:val="24"/>
          <w:szCs w:val="24"/>
        </w:rPr>
        <w:t>&lt;ako je primjenjivo&gt;</w:t>
      </w:r>
      <w:r w:rsidR="007161FA" w:rsidRPr="00020E6F">
        <w:rPr>
          <w:rFonts w:ascii="Times New Roman" w:hAnsi="Times New Roman"/>
          <w:sz w:val="24"/>
          <w:szCs w:val="24"/>
        </w:rPr>
        <w:t xml:space="preserve"> Vlasništvo, kao i prava intelektualnog vlasništva povezana s rezultatima </w:t>
      </w:r>
      <w:r w:rsidR="007161FA">
        <w:rPr>
          <w:rFonts w:ascii="Times New Roman" w:hAnsi="Times New Roman"/>
          <w:sz w:val="24"/>
          <w:szCs w:val="24"/>
        </w:rPr>
        <w:t>Operacije</w:t>
      </w:r>
      <w:r w:rsidR="007161FA" w:rsidRPr="00020E6F">
        <w:rPr>
          <w:rFonts w:ascii="Times New Roman" w:hAnsi="Times New Roman"/>
          <w:sz w:val="24"/>
          <w:szCs w:val="24"/>
        </w:rPr>
        <w:t xml:space="preserve"> i/ili nad izvješćima i/ili nad drugim dokumentima koji se odnose na </w:t>
      </w:r>
      <w:r w:rsidR="007161FA">
        <w:rPr>
          <w:rFonts w:ascii="Times New Roman" w:hAnsi="Times New Roman"/>
          <w:sz w:val="24"/>
          <w:szCs w:val="24"/>
        </w:rPr>
        <w:t>Operaciju</w:t>
      </w:r>
      <w:r w:rsidR="007161FA" w:rsidRPr="00020E6F">
        <w:rPr>
          <w:rFonts w:ascii="Times New Roman" w:hAnsi="Times New Roman"/>
          <w:sz w:val="24"/>
          <w:szCs w:val="24"/>
        </w:rPr>
        <w:t xml:space="preserve">, prenose se na </w:t>
      </w:r>
      <w:r w:rsidR="007161FA" w:rsidRPr="00355DD6">
        <w:rPr>
          <w:rFonts w:ascii="Times New Roman" w:hAnsi="Times New Roman"/>
          <w:i/>
          <w:sz w:val="24"/>
          <w:szCs w:val="24"/>
        </w:rPr>
        <w:t>&lt;umetnuti&gt;</w:t>
      </w:r>
      <w:r w:rsidR="007161FA" w:rsidRPr="00020E6F">
        <w:rPr>
          <w:rFonts w:ascii="Times New Roman" w:hAnsi="Times New Roman"/>
          <w:sz w:val="24"/>
          <w:szCs w:val="24"/>
        </w:rPr>
        <w:t xml:space="preserve"> što je utvrđeno pisanim sporazumom </w:t>
      </w:r>
      <w:r w:rsidR="007161FA" w:rsidRPr="00355DD6">
        <w:rPr>
          <w:rFonts w:ascii="Times New Roman" w:hAnsi="Times New Roman"/>
          <w:i/>
          <w:sz w:val="24"/>
          <w:szCs w:val="24"/>
        </w:rPr>
        <w:t>&lt;navesti podatke o sporazumu &gt;</w:t>
      </w:r>
      <w:r w:rsidR="007161FA" w:rsidRPr="00020E6F">
        <w:rPr>
          <w:rFonts w:ascii="Times New Roman" w:hAnsi="Times New Roman"/>
          <w:sz w:val="24"/>
          <w:szCs w:val="24"/>
        </w:rPr>
        <w:t xml:space="preserve"> koji se prilaže </w:t>
      </w:r>
      <w:r w:rsidR="007161FA">
        <w:rPr>
          <w:rFonts w:ascii="Times New Roman" w:hAnsi="Times New Roman"/>
          <w:sz w:val="24"/>
          <w:szCs w:val="24"/>
        </w:rPr>
        <w:t>ovom Ugovoru</w:t>
      </w:r>
      <w:r w:rsidR="007161FA" w:rsidRPr="00020E6F">
        <w:rPr>
          <w:rFonts w:ascii="Times New Roman" w:hAnsi="Times New Roman"/>
          <w:sz w:val="24"/>
          <w:szCs w:val="24"/>
        </w:rPr>
        <w:t>.</w:t>
      </w:r>
    </w:p>
    <w:p w14:paraId="35C65B7F" w14:textId="5FBE5AFF"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33F73C8E" w14:textId="70BC0188" w:rsidR="006F5012" w:rsidRDefault="006F5012" w:rsidP="0044120D">
      <w:pPr>
        <w:tabs>
          <w:tab w:val="left" w:pos="567"/>
        </w:tabs>
        <w:spacing w:after="0" w:line="240" w:lineRule="auto"/>
        <w:ind w:left="567" w:hanging="567"/>
        <w:jc w:val="both"/>
        <w:outlineLvl w:val="0"/>
        <w:rPr>
          <w:rFonts w:ascii="Times New Roman" w:hAnsi="Times New Roman"/>
          <w:b/>
          <w:sz w:val="24"/>
          <w:szCs w:val="24"/>
        </w:rPr>
      </w:pPr>
    </w:p>
    <w:p w14:paraId="7793AAAD" w14:textId="77079AD1" w:rsidR="00F13E9E" w:rsidRDefault="00F13E9E" w:rsidP="0044120D">
      <w:pPr>
        <w:tabs>
          <w:tab w:val="left" w:pos="567"/>
        </w:tabs>
        <w:spacing w:after="0" w:line="240" w:lineRule="auto"/>
        <w:ind w:left="567" w:hanging="567"/>
        <w:jc w:val="both"/>
        <w:outlineLvl w:val="0"/>
        <w:rPr>
          <w:rFonts w:ascii="Times New Roman" w:hAnsi="Times New Roman"/>
          <w:b/>
          <w:sz w:val="24"/>
          <w:szCs w:val="24"/>
        </w:rPr>
      </w:pPr>
    </w:p>
    <w:p w14:paraId="79CB3A62" w14:textId="048BC88D" w:rsidR="00F13E9E" w:rsidRDefault="00F13E9E" w:rsidP="0044120D">
      <w:pPr>
        <w:tabs>
          <w:tab w:val="left" w:pos="567"/>
        </w:tabs>
        <w:spacing w:after="0" w:line="240" w:lineRule="auto"/>
        <w:ind w:left="567" w:hanging="567"/>
        <w:jc w:val="both"/>
        <w:outlineLvl w:val="0"/>
        <w:rPr>
          <w:rFonts w:ascii="Times New Roman" w:hAnsi="Times New Roman"/>
          <w:b/>
          <w:sz w:val="24"/>
          <w:szCs w:val="24"/>
        </w:rPr>
      </w:pPr>
    </w:p>
    <w:p w14:paraId="019981F3" w14:textId="77777777" w:rsidR="00F13E9E" w:rsidRDefault="00F13E9E" w:rsidP="0044120D">
      <w:pPr>
        <w:tabs>
          <w:tab w:val="left" w:pos="567"/>
        </w:tabs>
        <w:spacing w:after="0" w:line="240" w:lineRule="auto"/>
        <w:ind w:left="567" w:hanging="567"/>
        <w:jc w:val="both"/>
        <w:outlineLvl w:val="0"/>
        <w:rPr>
          <w:rFonts w:ascii="Times New Roman" w:hAnsi="Times New Roman"/>
          <w:b/>
          <w:sz w:val="24"/>
          <w:szCs w:val="24"/>
        </w:rPr>
      </w:pPr>
    </w:p>
    <w:p w14:paraId="2B40E523" w14:textId="5E7AF10F"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Ostali uvjeti</w:t>
      </w:r>
    </w:p>
    <w:p w14:paraId="62911F40" w14:textId="2D7EAC22"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3ED7B55C" w:rsidR="00DF6F2B"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 xml:space="preserve">. </w:t>
      </w:r>
    </w:p>
    <w:p w14:paraId="74555C2A" w14:textId="77777777" w:rsidR="003C78C3" w:rsidRPr="001D4D97" w:rsidRDefault="003C78C3" w:rsidP="00D249ED">
      <w:pPr>
        <w:tabs>
          <w:tab w:val="left" w:pos="567"/>
        </w:tabs>
        <w:spacing w:after="0" w:line="240" w:lineRule="auto"/>
        <w:ind w:left="567" w:hanging="567"/>
        <w:jc w:val="center"/>
        <w:outlineLvl w:val="0"/>
        <w:rPr>
          <w:rFonts w:ascii="Times New Roman" w:hAnsi="Times New Roman"/>
          <w:sz w:val="24"/>
          <w:szCs w:val="24"/>
        </w:rPr>
      </w:pPr>
    </w:p>
    <w:p w14:paraId="19AA1C82" w14:textId="6DE8DAA7" w:rsidR="00A1247D" w:rsidRDefault="00A1247D"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5EE291CF" w14:textId="77777777" w:rsidR="00A1247D" w:rsidRDefault="00A1247D" w:rsidP="00A1247D">
      <w:pPr>
        <w:spacing w:after="0" w:line="240" w:lineRule="auto"/>
        <w:jc w:val="both"/>
        <w:rPr>
          <w:rFonts w:ascii="Times New Roman" w:hAnsi="Times New Roman"/>
          <w:sz w:val="24"/>
          <w:szCs w:val="24"/>
        </w:rPr>
      </w:pPr>
    </w:p>
    <w:p w14:paraId="638CBA8A" w14:textId="09BDBDFC" w:rsidR="00A1247D" w:rsidRPr="00EA59A9" w:rsidRDefault="00A1247D" w:rsidP="5BD0CF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r w:rsidR="003C78C3">
        <w:rPr>
          <w:rFonts w:ascii="Times New Roman" w:hAnsi="Times New Roman"/>
          <w:sz w:val="24"/>
          <w:szCs w:val="24"/>
        </w:rPr>
        <w:t>.</w:t>
      </w:r>
    </w:p>
    <w:p w14:paraId="1F6F47A7" w14:textId="1E88EDAC" w:rsidR="00A1247D" w:rsidRPr="00EA59A9" w:rsidRDefault="00A1247D" w:rsidP="5BD0CF6B">
      <w:pPr>
        <w:spacing w:after="0" w:line="240" w:lineRule="auto"/>
        <w:ind w:left="567" w:hanging="567"/>
        <w:jc w:val="both"/>
        <w:rPr>
          <w:rFonts w:ascii="Times New Roman" w:hAnsi="Times New Roman"/>
          <w:sz w:val="24"/>
          <w:szCs w:val="24"/>
        </w:rPr>
      </w:pPr>
    </w:p>
    <w:p w14:paraId="4235DB6F" w14:textId="3469D1E5" w:rsidR="00807B20" w:rsidRDefault="00A1247D" w:rsidP="00807B20">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8.3.</w:t>
      </w:r>
      <w:r w:rsidR="003C78C3">
        <w:rPr>
          <w:rFonts w:ascii="Times New Roman" w:hAnsi="Times New Roman"/>
          <w:sz w:val="24"/>
          <w:szCs w:val="24"/>
        </w:rPr>
        <w:tab/>
      </w:r>
      <w:r w:rsidRPr="5BD0CF6B">
        <w:rPr>
          <w:rFonts w:ascii="Times New Roman" w:hAnsi="Times New Roman"/>
          <w:sz w:val="24"/>
          <w:szCs w:val="24"/>
        </w:rPr>
        <w:t xml:space="preserve">U slučaju neslaganja odredbi ovog Ugovora i nekog od Priloga koji je sastavni dio Ugovora, odredbe Ugovora imaju prvenstvo. </w:t>
      </w:r>
    </w:p>
    <w:p w14:paraId="5AA60359" w14:textId="77777777" w:rsidR="00807B20" w:rsidRDefault="00807B20" w:rsidP="00807B20">
      <w:pPr>
        <w:spacing w:after="0" w:line="240" w:lineRule="auto"/>
        <w:ind w:left="567" w:hanging="567"/>
        <w:jc w:val="both"/>
        <w:rPr>
          <w:rFonts w:ascii="Times New Roman" w:hAnsi="Times New Roman"/>
          <w:sz w:val="24"/>
          <w:szCs w:val="24"/>
        </w:rPr>
      </w:pPr>
    </w:p>
    <w:p w14:paraId="4C9C926F" w14:textId="27300EFD" w:rsidR="00807B20" w:rsidRPr="00355DD6" w:rsidRDefault="00807B20" w:rsidP="00807B20">
      <w:pPr>
        <w:spacing w:after="0" w:line="240" w:lineRule="auto"/>
        <w:ind w:left="567" w:hanging="567"/>
        <w:jc w:val="both"/>
        <w:rPr>
          <w:rFonts w:ascii="Times New Roman" w:hAnsi="Times New Roman"/>
          <w:sz w:val="24"/>
          <w:szCs w:val="24"/>
        </w:rPr>
      </w:pPr>
      <w:r>
        <w:rPr>
          <w:rFonts w:ascii="Times New Roman" w:hAnsi="Times New Roman"/>
          <w:sz w:val="24"/>
          <w:szCs w:val="24"/>
        </w:rPr>
        <w:t>8.4.</w:t>
      </w:r>
      <w:r w:rsidRPr="00807B20">
        <w:rPr>
          <w:rFonts w:ascii="Times New Roman" w:hAnsi="Times New Roman"/>
          <w:sz w:val="24"/>
          <w:szCs w:val="24"/>
        </w:rPr>
        <w:t xml:space="preserve"> </w:t>
      </w:r>
      <w:r>
        <w:rPr>
          <w:rFonts w:ascii="Times New Roman" w:hAnsi="Times New Roman"/>
          <w:sz w:val="24"/>
          <w:szCs w:val="24"/>
        </w:rPr>
        <w:tab/>
      </w:r>
      <w:r w:rsidRPr="00EA59A9">
        <w:rPr>
          <w:rFonts w:ascii="Times New Roman" w:hAnsi="Times New Roman"/>
          <w:sz w:val="24"/>
          <w:szCs w:val="24"/>
        </w:rPr>
        <w:t xml:space="preserve">U slučaju neslaganja odredbi </w:t>
      </w:r>
      <w:r>
        <w:rPr>
          <w:rFonts w:ascii="Times New Roman" w:hAnsi="Times New Roman"/>
          <w:sz w:val="24"/>
          <w:szCs w:val="24"/>
        </w:rPr>
        <w:t>Općih uvjeta Ugovora</w:t>
      </w:r>
      <w:r w:rsidRPr="00EA59A9">
        <w:rPr>
          <w:rFonts w:ascii="Times New Roman" w:hAnsi="Times New Roman"/>
          <w:sz w:val="24"/>
          <w:szCs w:val="24"/>
        </w:rPr>
        <w:t xml:space="preserve"> i ostalih </w:t>
      </w:r>
      <w:r>
        <w:rPr>
          <w:rFonts w:ascii="Times New Roman" w:hAnsi="Times New Roman"/>
          <w:sz w:val="24"/>
          <w:szCs w:val="24"/>
        </w:rPr>
        <w:t>Priloga</w:t>
      </w:r>
      <w:r w:rsidRPr="00EA59A9">
        <w:rPr>
          <w:rFonts w:ascii="Times New Roman" w:hAnsi="Times New Roman"/>
          <w:sz w:val="24"/>
          <w:szCs w:val="24"/>
        </w:rPr>
        <w:t xml:space="preserve">, odredbe </w:t>
      </w:r>
      <w:r>
        <w:rPr>
          <w:rFonts w:ascii="Times New Roman" w:hAnsi="Times New Roman"/>
          <w:sz w:val="24"/>
          <w:szCs w:val="24"/>
        </w:rPr>
        <w:t>Općih uvjeta Ugovora</w:t>
      </w:r>
      <w:r w:rsidRPr="00EA59A9">
        <w:rPr>
          <w:rFonts w:ascii="Times New Roman" w:hAnsi="Times New Roman"/>
          <w:sz w:val="24"/>
          <w:szCs w:val="24"/>
        </w:rPr>
        <w:t xml:space="preserve"> imaju prvenstvo.</w:t>
      </w:r>
    </w:p>
    <w:p w14:paraId="2DAA8D52" w14:textId="77777777" w:rsidR="00807B20" w:rsidRPr="00355DD6" w:rsidRDefault="00807B20" w:rsidP="00807B20">
      <w:pPr>
        <w:spacing w:after="0" w:line="240" w:lineRule="auto"/>
        <w:jc w:val="both"/>
        <w:rPr>
          <w:rFonts w:ascii="Times New Roman" w:hAnsi="Times New Roman"/>
          <w:sz w:val="24"/>
          <w:szCs w:val="24"/>
        </w:rPr>
      </w:pPr>
      <w:r w:rsidRPr="00020E6F" w:rsidDel="00A1247D">
        <w:rPr>
          <w:rFonts w:ascii="Times New Roman" w:hAnsi="Times New Roman"/>
          <w:sz w:val="24"/>
          <w:szCs w:val="24"/>
        </w:rPr>
        <w:t xml:space="preserve"> </w:t>
      </w:r>
    </w:p>
    <w:p w14:paraId="10D20050" w14:textId="77777777" w:rsidR="00810DE3" w:rsidRDefault="00810DE3" w:rsidP="00524DD7">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0FFDCC17"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6D5DC4">
        <w:rPr>
          <w:rFonts w:ascii="Times New Roman" w:hAnsi="Times New Roman"/>
          <w:sz w:val="24"/>
          <w:szCs w:val="24"/>
        </w:rPr>
        <w:t>9</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65DC1408" w:rsidR="00A64959" w:rsidRPr="00020E6F" w:rsidRDefault="006F0D74" w:rsidP="00375B22">
      <w:pPr>
        <w:spacing w:after="0" w:line="240" w:lineRule="auto"/>
        <w:ind w:left="567" w:hanging="567"/>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51B243EA"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452A2ED6"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podatke o osobi i adresi elektronske pošte za kontakt.  </w:t>
      </w:r>
    </w:p>
    <w:p w14:paraId="640B73A4" w14:textId="26605217" w:rsidR="003E546B" w:rsidRDefault="003E546B" w:rsidP="0044120D">
      <w:pPr>
        <w:spacing w:after="0" w:line="240" w:lineRule="auto"/>
        <w:ind w:left="567"/>
        <w:jc w:val="both"/>
        <w:rPr>
          <w:rFonts w:ascii="Times New Roman" w:hAnsi="Times New Roman"/>
          <w:sz w:val="24"/>
          <w:szCs w:val="24"/>
        </w:rPr>
      </w:pPr>
    </w:p>
    <w:p w14:paraId="583A0B54" w14:textId="45D18097" w:rsidR="003E546B" w:rsidRDefault="003E546B"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AC30136"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6D5DC4">
        <w:rPr>
          <w:rFonts w:ascii="Times New Roman" w:hAnsi="Times New Roman"/>
          <w:sz w:val="24"/>
          <w:szCs w:val="24"/>
        </w:rPr>
        <w:t>10</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49B52F49" w:rsidR="00355DD6" w:rsidRDefault="006F0D74" w:rsidP="00C42958">
      <w:pPr>
        <w:spacing w:after="0" w:line="240" w:lineRule="auto"/>
        <w:ind w:left="567" w:hanging="567"/>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361242EB"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6D5DC4">
        <w:rPr>
          <w:rFonts w:ascii="Times New Roman" w:hAnsi="Times New Roman"/>
          <w:sz w:val="24"/>
          <w:szCs w:val="24"/>
        </w:rPr>
        <w:t>11</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05BA4CFD" w:rsidR="00A64959" w:rsidRPr="00020E6F" w:rsidRDefault="006F0D74" w:rsidP="006F0D74">
      <w:pPr>
        <w:spacing w:after="0" w:line="240" w:lineRule="auto"/>
        <w:ind w:left="567" w:hanging="567"/>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C42958">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493C7C32" w14:textId="417F7D8F" w:rsidR="00A64959" w:rsidRPr="00020E6F" w:rsidRDefault="00A64959" w:rsidP="00375B22">
      <w:pPr>
        <w:spacing w:after="0" w:line="240" w:lineRule="auto"/>
        <w:ind w:left="567"/>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BE5043">
        <w:rPr>
          <w:rFonts w:ascii="Times New Roman" w:hAnsi="Times New Roman"/>
          <w:sz w:val="24"/>
          <w:szCs w:val="24"/>
        </w:rPr>
        <w:t>Ugovora</w:t>
      </w:r>
    </w:p>
    <w:p w14:paraId="70AA9915" w14:textId="72FE44DA" w:rsidR="00F16012" w:rsidRDefault="00F16012" w:rsidP="00375B22">
      <w:pPr>
        <w:spacing w:after="0" w:line="240" w:lineRule="auto"/>
        <w:ind w:left="567"/>
        <w:jc w:val="both"/>
        <w:rPr>
          <w:rFonts w:ascii="Times New Roman" w:hAnsi="Times New Roman"/>
          <w:sz w:val="24"/>
          <w:szCs w:val="24"/>
        </w:rPr>
      </w:pPr>
      <w:r w:rsidRPr="005D79A5">
        <w:rPr>
          <w:rFonts w:ascii="Times New Roman" w:hAnsi="Times New Roman"/>
          <w:sz w:val="24"/>
          <w:szCs w:val="24"/>
        </w:rPr>
        <w:t>Prilog</w:t>
      </w:r>
      <w:r w:rsidR="00357BA5">
        <w:rPr>
          <w:rFonts w:ascii="Times New Roman" w:hAnsi="Times New Roman"/>
          <w:sz w:val="24"/>
          <w:szCs w:val="24"/>
        </w:rPr>
        <w:t xml:space="preserve"> </w:t>
      </w:r>
      <w:r w:rsidR="006D5DC4">
        <w:rPr>
          <w:rFonts w:ascii="Times New Roman" w:hAnsi="Times New Roman"/>
          <w:sz w:val="24"/>
          <w:szCs w:val="24"/>
        </w:rPr>
        <w:t>III</w:t>
      </w:r>
      <w:r w:rsidRPr="005D79A5">
        <w:rPr>
          <w:rFonts w:ascii="Times New Roman" w:hAnsi="Times New Roman"/>
          <w:sz w:val="24"/>
          <w:szCs w:val="24"/>
        </w:rPr>
        <w:t xml:space="preserve">: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413696B4" w14:textId="28DEE2C0" w:rsidR="00BE5043" w:rsidRPr="00D43794" w:rsidRDefault="00BE5043" w:rsidP="00375B22">
      <w:pPr>
        <w:pStyle w:val="Bezproreda"/>
        <w:ind w:left="567"/>
        <w:rPr>
          <w:rFonts w:ascii="Times New Roman" w:hAnsi="Times New Roman" w:cs="Times New Roman"/>
          <w:sz w:val="24"/>
          <w:szCs w:val="24"/>
        </w:rPr>
      </w:pPr>
      <w:r w:rsidRPr="00D43794">
        <w:rPr>
          <w:rFonts w:ascii="Times New Roman" w:hAnsi="Times New Roman" w:cs="Times New Roman"/>
          <w:sz w:val="24"/>
          <w:szCs w:val="24"/>
        </w:rPr>
        <w:t xml:space="preserve">Prilog </w:t>
      </w:r>
      <w:r w:rsidR="006D5DC4">
        <w:rPr>
          <w:rFonts w:ascii="Times New Roman" w:hAnsi="Times New Roman" w:cs="Times New Roman"/>
          <w:sz w:val="24"/>
          <w:szCs w:val="24"/>
        </w:rPr>
        <w:t>I</w:t>
      </w:r>
      <w:r>
        <w:rPr>
          <w:rFonts w:ascii="Times New Roman" w:hAnsi="Times New Roman" w:cs="Times New Roman"/>
          <w:sz w:val="24"/>
          <w:szCs w:val="24"/>
        </w:rPr>
        <w:t>V</w:t>
      </w:r>
      <w:r w:rsidRPr="00D43794">
        <w:rPr>
          <w:rFonts w:ascii="Times New Roman" w:hAnsi="Times New Roman" w:cs="Times New Roman"/>
          <w:sz w:val="24"/>
          <w:szCs w:val="24"/>
        </w:rPr>
        <w:t xml:space="preserve">: Zahtjev za nadoknadom sredstava </w:t>
      </w:r>
    </w:p>
    <w:p w14:paraId="4C8D3533" w14:textId="2046DAC0" w:rsidR="00BE5043" w:rsidRPr="00D43794" w:rsidRDefault="00BE5043" w:rsidP="00375B22">
      <w:pPr>
        <w:pStyle w:val="Bezproreda"/>
        <w:ind w:left="567"/>
        <w:rPr>
          <w:rFonts w:ascii="Times New Roman" w:hAnsi="Times New Roman" w:cs="Times New Roman"/>
          <w:sz w:val="24"/>
          <w:szCs w:val="24"/>
        </w:rPr>
      </w:pPr>
      <w:r w:rsidRPr="00D43794">
        <w:rPr>
          <w:rFonts w:ascii="Times New Roman" w:hAnsi="Times New Roman" w:cs="Times New Roman"/>
          <w:sz w:val="24"/>
          <w:szCs w:val="24"/>
        </w:rPr>
        <w:t xml:space="preserve">Prilog </w:t>
      </w:r>
      <w:r>
        <w:rPr>
          <w:rFonts w:ascii="Times New Roman" w:hAnsi="Times New Roman" w:cs="Times New Roman"/>
          <w:sz w:val="24"/>
          <w:szCs w:val="24"/>
        </w:rPr>
        <w:t>V</w:t>
      </w:r>
      <w:r w:rsidRPr="00D43794">
        <w:rPr>
          <w:rFonts w:ascii="Times New Roman" w:hAnsi="Times New Roman" w:cs="Times New Roman"/>
          <w:sz w:val="24"/>
          <w:szCs w:val="24"/>
        </w:rPr>
        <w:t>: Završno izvješće</w:t>
      </w:r>
    </w:p>
    <w:p w14:paraId="2E118C93" w14:textId="1001DA44"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6D7BE411"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6D5DC4" w:rsidRPr="00E4744C">
        <w:rPr>
          <w:rFonts w:ascii="Times New Roman" w:hAnsi="Times New Roman"/>
          <w:sz w:val="24"/>
          <w:szCs w:val="24"/>
        </w:rPr>
        <w:t>1</w:t>
      </w:r>
      <w:r w:rsidR="006D5DC4">
        <w:rPr>
          <w:rFonts w:ascii="Times New Roman" w:hAnsi="Times New Roman"/>
          <w:sz w:val="24"/>
          <w:szCs w:val="24"/>
        </w:rPr>
        <w:t>2</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6850F860" w:rsidR="008673C2" w:rsidRDefault="006F0D74" w:rsidP="00375B22">
      <w:pPr>
        <w:ind w:left="567" w:hanging="567"/>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413DB6">
        <w:rPr>
          <w:rFonts w:ascii="Times New Roman" w:hAnsi="Times New Roman"/>
          <w:sz w:val="24"/>
          <w:szCs w:val="24"/>
        </w:rPr>
        <w:t xml:space="preserve">(2)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2675"/>
        <w:gridCol w:w="2305"/>
        <w:gridCol w:w="2307"/>
      </w:tblGrid>
      <w:tr w:rsidR="00CC63D3" w:rsidRPr="00020E6F" w14:paraId="7BFBAB82" w14:textId="77777777" w:rsidTr="005464E6">
        <w:trPr>
          <w:trHeight w:val="295"/>
          <w:jc w:val="center"/>
        </w:trPr>
        <w:tc>
          <w:tcPr>
            <w:tcW w:w="4612"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12"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5464E6">
        <w:trPr>
          <w:trHeight w:val="311"/>
          <w:jc w:val="center"/>
        </w:trPr>
        <w:tc>
          <w:tcPr>
            <w:tcW w:w="1937"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75"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05"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06"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5464E6">
        <w:trPr>
          <w:trHeight w:val="295"/>
          <w:jc w:val="center"/>
        </w:trPr>
        <w:tc>
          <w:tcPr>
            <w:tcW w:w="1937"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75"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05"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06"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5464E6">
        <w:trPr>
          <w:trHeight w:val="311"/>
          <w:jc w:val="center"/>
        </w:trPr>
        <w:tc>
          <w:tcPr>
            <w:tcW w:w="1937"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75"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05"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06"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5464E6">
        <w:trPr>
          <w:trHeight w:val="295"/>
          <w:jc w:val="center"/>
        </w:trPr>
        <w:tc>
          <w:tcPr>
            <w:tcW w:w="1937"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75"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05"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06"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5464E6">
        <w:trPr>
          <w:trHeight w:val="295"/>
          <w:jc w:val="center"/>
        </w:trPr>
        <w:tc>
          <w:tcPr>
            <w:tcW w:w="4612"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12"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5464E6">
        <w:trPr>
          <w:trHeight w:val="311"/>
          <w:jc w:val="center"/>
        </w:trPr>
        <w:tc>
          <w:tcPr>
            <w:tcW w:w="1937"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75"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05" w:type="dxa"/>
            <w:tcBorders>
              <w:top w:val="nil"/>
              <w:left w:val="nil"/>
              <w:bottom w:val="nil"/>
              <w:right w:val="nil"/>
            </w:tcBorders>
          </w:tcPr>
          <w:p w14:paraId="57CB431F" w14:textId="6EBA4043" w:rsidR="005464E6" w:rsidRPr="00020E6F" w:rsidRDefault="005464E6" w:rsidP="00CC63D3">
            <w:pPr>
              <w:spacing w:after="0" w:line="240" w:lineRule="auto"/>
              <w:rPr>
                <w:rFonts w:ascii="Times New Roman" w:hAnsi="Times New Roman"/>
                <w:sz w:val="24"/>
                <w:szCs w:val="24"/>
              </w:rPr>
            </w:pPr>
          </w:p>
        </w:tc>
        <w:tc>
          <w:tcPr>
            <w:tcW w:w="2306"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bl>
    <w:p w14:paraId="70562D91" w14:textId="77777777" w:rsidR="005464E6" w:rsidRDefault="005464E6" w:rsidP="005464E6">
      <w:pPr>
        <w:spacing w:after="0" w:line="240" w:lineRule="auto"/>
        <w:rPr>
          <w:rFonts w:ascii="Times New Roman" w:eastAsia="Calibri" w:hAnsi="Times New Roman"/>
          <w:b/>
          <w:sz w:val="24"/>
          <w:szCs w:val="24"/>
          <w:lang w:eastAsia="hr-HR"/>
        </w:rPr>
      </w:pPr>
    </w:p>
    <w:sectPr w:rsidR="005464E6" w:rsidSect="00524DD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BEF8" w14:textId="77777777" w:rsidR="00350B5A" w:rsidRDefault="00350B5A" w:rsidP="00CE785D">
      <w:pPr>
        <w:spacing w:after="0" w:line="240" w:lineRule="auto"/>
      </w:pPr>
      <w:r>
        <w:separator/>
      </w:r>
    </w:p>
  </w:endnote>
  <w:endnote w:type="continuationSeparator" w:id="0">
    <w:p w14:paraId="1D8C0DD6" w14:textId="77777777" w:rsidR="00350B5A" w:rsidRDefault="00350B5A" w:rsidP="00CE785D">
      <w:pPr>
        <w:spacing w:after="0" w:line="240" w:lineRule="auto"/>
      </w:pPr>
      <w:r>
        <w:continuationSeparator/>
      </w:r>
    </w:p>
  </w:endnote>
  <w:endnote w:type="continuationNotice" w:id="1">
    <w:p w14:paraId="6C9BAB33" w14:textId="77777777" w:rsidR="00350B5A" w:rsidRDefault="00350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4C5BBA49" w:rsidR="00C455E7" w:rsidRDefault="00C455E7">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F303E0">
              <w:rPr>
                <w:rFonts w:ascii="Times New Roman" w:hAnsi="Times New Roman"/>
                <w:b/>
                <w:bCs/>
                <w:noProof/>
              </w:rPr>
              <w:t>5</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F303E0">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CC1A7" w14:textId="77777777" w:rsidR="00350B5A" w:rsidRDefault="00350B5A" w:rsidP="00CE785D">
      <w:pPr>
        <w:spacing w:after="0" w:line="240" w:lineRule="auto"/>
      </w:pPr>
      <w:r>
        <w:separator/>
      </w:r>
    </w:p>
  </w:footnote>
  <w:footnote w:type="continuationSeparator" w:id="0">
    <w:p w14:paraId="418B33C6" w14:textId="77777777" w:rsidR="00350B5A" w:rsidRDefault="00350B5A" w:rsidP="00CE785D">
      <w:pPr>
        <w:spacing w:after="0" w:line="240" w:lineRule="auto"/>
      </w:pPr>
      <w:r>
        <w:continuationSeparator/>
      </w:r>
    </w:p>
  </w:footnote>
  <w:footnote w:type="continuationNotice" w:id="1">
    <w:p w14:paraId="102A604E" w14:textId="77777777" w:rsidR="00350B5A" w:rsidRDefault="00350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63DF" w14:textId="10F3AF34" w:rsidR="00C455E7" w:rsidRDefault="00C455E7">
    <w:pPr>
      <w:pStyle w:val="Zaglavlje"/>
    </w:pPr>
  </w:p>
  <w:p w14:paraId="7756E386" w14:textId="77777777" w:rsidR="00D03C65" w:rsidRDefault="00D03C6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D438" w14:textId="3110DF6A" w:rsidR="00F14184" w:rsidRDefault="00972EDB" w:rsidP="00F14184">
    <w:pPr>
      <w:pStyle w:val="Zaglavlje"/>
    </w:pPr>
    <w:r w:rsidRPr="00080322">
      <w:rPr>
        <w:bCs/>
        <w:noProof/>
        <w:color w:val="595959"/>
        <w:sz w:val="18"/>
        <w:szCs w:val="18"/>
        <w:lang w:val="en-US" w:eastAsia="en-US"/>
      </w:rPr>
      <mc:AlternateContent>
        <mc:Choice Requires="wps">
          <w:drawing>
            <wp:anchor distT="0" distB="0" distL="114300" distR="114300" simplePos="0" relativeHeight="251658240" behindDoc="0" locked="0" layoutInCell="1" allowOverlap="1" wp14:anchorId="7C3243CF" wp14:editId="3F2C634C">
              <wp:simplePos x="0" y="0"/>
              <wp:positionH relativeFrom="margin">
                <wp:posOffset>1173556</wp:posOffset>
              </wp:positionH>
              <wp:positionV relativeFrom="paragraph">
                <wp:posOffset>8890</wp:posOffset>
              </wp:positionV>
              <wp:extent cx="2466975" cy="824865"/>
              <wp:effectExtent l="0" t="0" r="0" b="0"/>
              <wp:wrapNone/>
              <wp:docPr id="1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10D1630" w14:textId="204B8B24" w:rsidR="00F14184" w:rsidRPr="005F36E1" w:rsidRDefault="00F14184" w:rsidP="00F14184">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C3243CF" id="Pravokutnik 16" o:spid="_x0000_s1026" style="position:absolute;margin-left:92.4pt;margin-top:.7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tiAEAAPMCAAAOAAAAZHJzL2Uyb0RvYy54bWysUsFO4zAQvSPtP1i+b9NGEErUFK2E2Mtq&#10;qQR8gOvYjUXsMWO3Sf+esRvKCm5oL+MZz8zzvDde3Y62ZweFwYBr+GI250w5Ca1xu4Y/P93/XHIW&#10;onCt6MGphh9V4LfrHxerwdeqhA76ViEjEBfqwTe8i9HXRRFkp6wIM/DKUVIDWhEpxF3RohgI3fZF&#10;OZ9XxQDYegSpQqDbu1OSrzO+1krGB62DiqxvOM0Ws8Vst8kW65Wodyh8Z+Q0hvjGFFYYR4+eoe5E&#10;FGyP5guUNRIhgI4zCbYArY1UmQOxWcw/sXnshFeZC4kT/Fmm8P9g5d/DBplpaXclZ05Y2tEGxQFe&#10;9tGZF7aokkSDDzVVPvoNTlEgN/EdNdp0EhM2ZlmPZ1nVGJmky/Kyqm6urziTlFuWl8vqKoEWH90e&#10;Q/ytwLLkNBxpbVlNcfgT4qn0vYT60jSn95MXx+04DbWF9khsBlpnw8PrXmBST9QOfu0jaJOhUs+p&#10;cIIiZfMw0y9Iq/s3zlUff3X9BgAA//8DAFBLAwQUAAYACAAAACEAcHNVrt8AAAAJAQAADwAAAGRy&#10;cy9kb3ducmV2LnhtbEyPwUrDQBCG70LfYRnBi9hNTaslZlOkIBYRSlPteZsdk9DsbJrdJvHtHU96&#10;m49/+OebdDXaRvTY+dqRgtk0AoFUOFNTqeBj/3K3BOGDJqMbR6jgGz2ssslVqhPjBtphn4dScAn5&#10;RCuoQmgTKX1RodV+6lokzr5cZ3Vg7EppOj1wuW3kfRQ9SKtr4guVbnFdYXHKL1bBUGz7w/79VW5v&#10;DxtH5815nX++KXVzPT4/gQg4hr9l+NVndcjY6eguZLxomJdzVg88zEFwvniMYxBH5ngWg8xS+f+D&#10;7AcAAP//AwBQSwECLQAUAAYACAAAACEAtoM4kv4AAADhAQAAEwAAAAAAAAAAAAAAAAAAAAAAW0Nv&#10;bnRlbnRfVHlwZXNdLnhtbFBLAQItABQABgAIAAAAIQA4/SH/1gAAAJQBAAALAAAAAAAAAAAAAAAA&#10;AC8BAABfcmVscy8ucmVsc1BLAQItABQABgAIAAAAIQCL/1etiAEAAPMCAAAOAAAAAAAAAAAAAAAA&#10;AC4CAABkcnMvZTJvRG9jLnhtbFBLAQItABQABgAIAAAAIQBwc1Wu3wAAAAkBAAAPAAAAAAAAAAAA&#10;AAAAAOIDAABkcnMvZG93bnJldi54bWxQSwUGAAAAAAQABADzAAAA7gQAAAAA&#10;" filled="f" stroked="f">
              <v:textbox>
                <w:txbxContent>
                  <w:p w14:paraId="010D1630" w14:textId="204B8B24" w:rsidR="00F14184" w:rsidRPr="005F36E1" w:rsidRDefault="00F14184" w:rsidP="00F14184">
                    <w:pPr>
                      <w:pStyle w:val="StandardWeb"/>
                      <w:spacing w:before="0" w:beforeAutospacing="0" w:after="0" w:afterAutospacing="0"/>
                      <w:rPr>
                        <w:bCs/>
                      </w:rPr>
                    </w:pPr>
                  </w:p>
                </w:txbxContent>
              </v:textbox>
              <w10:wrap anchorx="margin"/>
            </v:rect>
          </w:pict>
        </mc:Fallback>
      </mc:AlternateContent>
    </w:r>
    <w:r w:rsidR="00F14184" w:rsidRPr="00080322">
      <w:rPr>
        <w:bCs/>
        <w:noProof/>
        <w:color w:val="595959"/>
        <w:sz w:val="18"/>
        <w:szCs w:val="18"/>
        <w:lang w:val="en-US" w:eastAsia="en-US"/>
      </w:rPr>
      <mc:AlternateContent>
        <mc:Choice Requires="wps">
          <w:drawing>
            <wp:anchor distT="0" distB="0" distL="114300" distR="114300" simplePos="0" relativeHeight="251658242" behindDoc="0" locked="0" layoutInCell="1" allowOverlap="1" wp14:anchorId="1F6C3C0A" wp14:editId="1648215B">
              <wp:simplePos x="0" y="0"/>
              <wp:positionH relativeFrom="column">
                <wp:posOffset>4295775</wp:posOffset>
              </wp:positionH>
              <wp:positionV relativeFrom="paragraph">
                <wp:posOffset>485140</wp:posOffset>
              </wp:positionV>
              <wp:extent cx="1666875" cy="600075"/>
              <wp:effectExtent l="0" t="0" r="0" b="0"/>
              <wp:wrapNone/>
              <wp:docPr id="14"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805E29F" w14:textId="77777777" w:rsidR="00F14184" w:rsidRPr="002D7FC6" w:rsidRDefault="00F14184" w:rsidP="00F1418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4D3CEDE" w14:textId="77777777" w:rsidR="00F14184" w:rsidRPr="002D7FC6" w:rsidRDefault="00F14184" w:rsidP="00F1418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F6C3C0A" id="_x0000_s1027" style="position:absolute;margin-left:338.25pt;margin-top:38.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jYiQEAAPoCAAAOAAAAZHJzL2Uyb0RvYy54bWysUsFu2zAMvQ/YPwi6L3aKziuMOMWAorsM&#10;W4BuH6DIUizUElVSiZ2/HyWn6bDdhl0oUiSf+B61uZ/9KE4GyUHo5HpVS2GCht6FQyd//nj8cCcF&#10;JRV6NUIwnTwbkvfb9+82U2zNDQww9gYFgwRqp9jJIaXYVhXpwXhFK4gmcNICepU4xEPVo5oY3Y/V&#10;TV031QTYRwRtiPj2YUnKbcG31uj03VoySYyd5NlSsVjsPttqu1HtAVUcnL6Mof5hCq9c4EevUA8q&#10;KXFE9xeUdxqBwKaVBl+BtU6bwoHZrOs/2DwNKprChcWheJWJ/h+s/nbaoXA97+5WiqA872iH6gTP&#10;xxTcs1g3WaIpUsuVT3GHl4jYzXxniz6fzETMRdbzVVYzJ6H5ct00zd2nj1JozjV1XbPPMNVbd0RK&#10;Xwx4kZ1OIq+tqKlOXyktpa8l3JenWd7PXpr380LgddI99GcmNfFWO0kvR4VZRMU9n48JHl1BzK1L&#10;4QWRBS4zXT5D3uDvcal6+7LbXwAAAP//AwBQSwMEFAAGAAgAAAAhAFpzDCffAAAACgEAAA8AAABk&#10;cnMvZG93bnJldi54bWxMj0FOwzAQRfdI3MEaJDaI2kBxSIhToQJS6Y7QAzjJkITG4yh223B7hhUs&#10;R/P0//v5anaDOOIUek8GbhYKBFLtm55aA7uP1+sHECFaauzgCQ18Y4BVcX6W26zxJ3rHYxlbwSEU&#10;Mmugi3HMpAx1h86GhR+R+PfpJ2cjn1Mrm8meONwN8lYpLZ3tiRs6O+K6w3pfHpyBt+1yu1tv5Nc+&#10;7Z+vNkmpZKVfjLm8mJ8eQUSc4x8Mv/qsDgU7Vf5ATRCDAZ3oe0YNJHoJgoH0LuVxFZOJSkEWufw/&#10;ofgBAAD//wMAUEsBAi0AFAAGAAgAAAAhALaDOJL+AAAA4QEAABMAAAAAAAAAAAAAAAAAAAAAAFtD&#10;b250ZW50X1R5cGVzXS54bWxQSwECLQAUAAYACAAAACEAOP0h/9YAAACUAQAACwAAAAAAAAAAAAAA&#10;AAAvAQAAX3JlbHMvLnJlbHNQSwECLQAUAAYACAAAACEALTZI2IkBAAD6AgAADgAAAAAAAAAAAAAA&#10;AAAuAgAAZHJzL2Uyb0RvYy54bWxQSwECLQAUAAYACAAAACEAWnMMJ98AAAAKAQAADwAAAAAAAAAA&#10;AAAAAADjAwAAZHJzL2Rvd25yZXYueG1sUEsFBgAAAAAEAAQA8wAAAO8EAAAAAA==&#10;" filled="f" stroked="f">
              <v:textbox style="mso-fit-shape-to-text:t">
                <w:txbxContent>
                  <w:p w14:paraId="3805E29F" w14:textId="77777777" w:rsidR="00F14184" w:rsidRPr="002D7FC6" w:rsidRDefault="00F14184" w:rsidP="00F1418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4D3CEDE" w14:textId="77777777" w:rsidR="00F14184" w:rsidRPr="002D7FC6" w:rsidRDefault="00F14184" w:rsidP="00F1418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F14184" w:rsidRPr="0095702F">
      <w:rPr>
        <w:noProof/>
        <w:sz w:val="16"/>
        <w:szCs w:val="16"/>
        <w:lang w:val="en-US" w:eastAsia="en-US"/>
      </w:rPr>
      <w:drawing>
        <wp:anchor distT="0" distB="0" distL="114300" distR="114300" simplePos="0" relativeHeight="251658241" behindDoc="0" locked="0" layoutInCell="1" allowOverlap="1" wp14:anchorId="68344BBD" wp14:editId="40426B24">
          <wp:simplePos x="0" y="0"/>
          <wp:positionH relativeFrom="margin">
            <wp:posOffset>4743450</wp:posOffset>
          </wp:positionH>
          <wp:positionV relativeFrom="paragraph">
            <wp:posOffset>8890</wp:posOffset>
          </wp:positionV>
          <wp:extent cx="831850" cy="514985"/>
          <wp:effectExtent l="0" t="0" r="6350" b="0"/>
          <wp:wrapNone/>
          <wp:docPr id="1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8B37CD">
      <w:rPr>
        <w:noProof/>
        <w:lang w:val="en-US" w:eastAsia="en-US"/>
      </w:rPr>
      <w:drawing>
        <wp:inline distT="0" distB="0" distL="0" distR="0" wp14:anchorId="6D852A82" wp14:editId="28BCAD65">
          <wp:extent cx="2385969" cy="676181"/>
          <wp:effectExtent l="0" t="0" r="0" b="0"/>
          <wp:docPr id="4" name="Slika 4"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p>
  <w:p w14:paraId="3ECEF742" w14:textId="77777777" w:rsidR="00037A71" w:rsidRDefault="00037A71" w:rsidP="00037A71">
    <w:pPr>
      <w:pStyle w:val="Zaglavlje"/>
      <w:rPr>
        <w:sz w:val="22"/>
        <w:szCs w:val="22"/>
      </w:rPr>
    </w:pPr>
  </w:p>
  <w:p w14:paraId="032467D8" w14:textId="0067A3F0" w:rsidR="0027028F" w:rsidRDefault="002702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467A6"/>
    <w:multiLevelType w:val="hybridMultilevel"/>
    <w:tmpl w:val="FFFFFFFF"/>
    <w:lvl w:ilvl="0" w:tplc="419C738A">
      <w:start w:val="1"/>
      <w:numFmt w:val="bullet"/>
      <w:lvlText w:val="-"/>
      <w:lvlJc w:val="left"/>
      <w:pPr>
        <w:ind w:left="720" w:hanging="360"/>
      </w:pPr>
      <w:rPr>
        <w:rFonts w:ascii="Calibri" w:hAnsi="Calibri" w:hint="default"/>
      </w:rPr>
    </w:lvl>
    <w:lvl w:ilvl="1" w:tplc="DA10231E">
      <w:start w:val="1"/>
      <w:numFmt w:val="bullet"/>
      <w:lvlText w:val="o"/>
      <w:lvlJc w:val="left"/>
      <w:pPr>
        <w:ind w:left="1440" w:hanging="360"/>
      </w:pPr>
      <w:rPr>
        <w:rFonts w:ascii="Courier New" w:hAnsi="Courier New" w:hint="default"/>
      </w:rPr>
    </w:lvl>
    <w:lvl w:ilvl="2" w:tplc="85547AAE">
      <w:start w:val="1"/>
      <w:numFmt w:val="bullet"/>
      <w:lvlText w:val=""/>
      <w:lvlJc w:val="left"/>
      <w:pPr>
        <w:ind w:left="2160" w:hanging="360"/>
      </w:pPr>
      <w:rPr>
        <w:rFonts w:ascii="Wingdings" w:hAnsi="Wingdings" w:hint="default"/>
      </w:rPr>
    </w:lvl>
    <w:lvl w:ilvl="3" w:tplc="DBF040D6">
      <w:start w:val="1"/>
      <w:numFmt w:val="bullet"/>
      <w:lvlText w:val=""/>
      <w:lvlJc w:val="left"/>
      <w:pPr>
        <w:ind w:left="2880" w:hanging="360"/>
      </w:pPr>
      <w:rPr>
        <w:rFonts w:ascii="Symbol" w:hAnsi="Symbol" w:hint="default"/>
      </w:rPr>
    </w:lvl>
    <w:lvl w:ilvl="4" w:tplc="D08E6344">
      <w:start w:val="1"/>
      <w:numFmt w:val="bullet"/>
      <w:lvlText w:val="o"/>
      <w:lvlJc w:val="left"/>
      <w:pPr>
        <w:ind w:left="3600" w:hanging="360"/>
      </w:pPr>
      <w:rPr>
        <w:rFonts w:ascii="Courier New" w:hAnsi="Courier New" w:hint="default"/>
      </w:rPr>
    </w:lvl>
    <w:lvl w:ilvl="5" w:tplc="C55005E2">
      <w:start w:val="1"/>
      <w:numFmt w:val="bullet"/>
      <w:lvlText w:val=""/>
      <w:lvlJc w:val="left"/>
      <w:pPr>
        <w:ind w:left="4320" w:hanging="360"/>
      </w:pPr>
      <w:rPr>
        <w:rFonts w:ascii="Wingdings" w:hAnsi="Wingdings" w:hint="default"/>
      </w:rPr>
    </w:lvl>
    <w:lvl w:ilvl="6" w:tplc="18CC93BE">
      <w:start w:val="1"/>
      <w:numFmt w:val="bullet"/>
      <w:lvlText w:val=""/>
      <w:lvlJc w:val="left"/>
      <w:pPr>
        <w:ind w:left="5040" w:hanging="360"/>
      </w:pPr>
      <w:rPr>
        <w:rFonts w:ascii="Symbol" w:hAnsi="Symbol" w:hint="default"/>
      </w:rPr>
    </w:lvl>
    <w:lvl w:ilvl="7" w:tplc="4BDA770A">
      <w:start w:val="1"/>
      <w:numFmt w:val="bullet"/>
      <w:lvlText w:val="o"/>
      <w:lvlJc w:val="left"/>
      <w:pPr>
        <w:ind w:left="5760" w:hanging="360"/>
      </w:pPr>
      <w:rPr>
        <w:rFonts w:ascii="Courier New" w:hAnsi="Courier New" w:hint="default"/>
      </w:rPr>
    </w:lvl>
    <w:lvl w:ilvl="8" w:tplc="3E00143A">
      <w:start w:val="1"/>
      <w:numFmt w:val="bullet"/>
      <w:lvlText w:val=""/>
      <w:lvlJc w:val="left"/>
      <w:pPr>
        <w:ind w:left="6480" w:hanging="360"/>
      </w:pPr>
      <w:rPr>
        <w:rFonts w:ascii="Wingdings" w:hAnsi="Wingding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073153"/>
    <w:multiLevelType w:val="hybridMultilevel"/>
    <w:tmpl w:val="18409B1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A807A9"/>
    <w:multiLevelType w:val="hybridMultilevel"/>
    <w:tmpl w:val="D78A5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8E2E6D"/>
    <w:multiLevelType w:val="hybridMultilevel"/>
    <w:tmpl w:val="8CE467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7"/>
  </w:num>
  <w:num w:numId="16">
    <w:abstractNumId w:val="15"/>
  </w:num>
  <w:num w:numId="17">
    <w:abstractNumId w:val="16"/>
  </w:num>
  <w:num w:numId="18">
    <w:abstractNumId w:val="4"/>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DD8"/>
    <w:rsid w:val="00002DF2"/>
    <w:rsid w:val="00003A83"/>
    <w:rsid w:val="00015A92"/>
    <w:rsid w:val="00015AA8"/>
    <w:rsid w:val="00020E6F"/>
    <w:rsid w:val="00021CFB"/>
    <w:rsid w:val="00023778"/>
    <w:rsid w:val="000249C9"/>
    <w:rsid w:val="00033AA1"/>
    <w:rsid w:val="00037A71"/>
    <w:rsid w:val="00041990"/>
    <w:rsid w:val="00042310"/>
    <w:rsid w:val="00053E99"/>
    <w:rsid w:val="000560F5"/>
    <w:rsid w:val="00070EBC"/>
    <w:rsid w:val="0007404D"/>
    <w:rsid w:val="00082F3F"/>
    <w:rsid w:val="00083D58"/>
    <w:rsid w:val="00084F97"/>
    <w:rsid w:val="00086CF1"/>
    <w:rsid w:val="00091B23"/>
    <w:rsid w:val="00092936"/>
    <w:rsid w:val="000929E6"/>
    <w:rsid w:val="00097279"/>
    <w:rsid w:val="000A20D5"/>
    <w:rsid w:val="000A6795"/>
    <w:rsid w:val="000A68C3"/>
    <w:rsid w:val="000A73B0"/>
    <w:rsid w:val="000B3E94"/>
    <w:rsid w:val="000C178B"/>
    <w:rsid w:val="000C657A"/>
    <w:rsid w:val="000C693C"/>
    <w:rsid w:val="000D12F4"/>
    <w:rsid w:val="000E1A1C"/>
    <w:rsid w:val="000E2182"/>
    <w:rsid w:val="000E24C3"/>
    <w:rsid w:val="000E2867"/>
    <w:rsid w:val="000E4D9D"/>
    <w:rsid w:val="000F1F58"/>
    <w:rsid w:val="000F205E"/>
    <w:rsid w:val="000F5DFD"/>
    <w:rsid w:val="000F6C20"/>
    <w:rsid w:val="00105601"/>
    <w:rsid w:val="00110546"/>
    <w:rsid w:val="00111FBE"/>
    <w:rsid w:val="001157A7"/>
    <w:rsid w:val="001220E4"/>
    <w:rsid w:val="001230EC"/>
    <w:rsid w:val="001235C8"/>
    <w:rsid w:val="00123E6C"/>
    <w:rsid w:val="0012773D"/>
    <w:rsid w:val="00134914"/>
    <w:rsid w:val="00144305"/>
    <w:rsid w:val="00145009"/>
    <w:rsid w:val="001528F3"/>
    <w:rsid w:val="00153CCE"/>
    <w:rsid w:val="0015578A"/>
    <w:rsid w:val="0015615A"/>
    <w:rsid w:val="001572C0"/>
    <w:rsid w:val="00161123"/>
    <w:rsid w:val="00165963"/>
    <w:rsid w:val="00165A9C"/>
    <w:rsid w:val="001677EF"/>
    <w:rsid w:val="00172526"/>
    <w:rsid w:val="001741B2"/>
    <w:rsid w:val="00174509"/>
    <w:rsid w:val="00182C2A"/>
    <w:rsid w:val="00185D64"/>
    <w:rsid w:val="00187A90"/>
    <w:rsid w:val="00191320"/>
    <w:rsid w:val="00191910"/>
    <w:rsid w:val="00192E02"/>
    <w:rsid w:val="0019364A"/>
    <w:rsid w:val="00193EA5"/>
    <w:rsid w:val="001B4B86"/>
    <w:rsid w:val="001B6DA9"/>
    <w:rsid w:val="001C7498"/>
    <w:rsid w:val="001D01F8"/>
    <w:rsid w:val="001D252D"/>
    <w:rsid w:val="001D4719"/>
    <w:rsid w:val="001D4C9F"/>
    <w:rsid w:val="001D4D97"/>
    <w:rsid w:val="001D5962"/>
    <w:rsid w:val="001D6AFF"/>
    <w:rsid w:val="001E051D"/>
    <w:rsid w:val="001E5830"/>
    <w:rsid w:val="001E748C"/>
    <w:rsid w:val="001E7E6E"/>
    <w:rsid w:val="001F0A07"/>
    <w:rsid w:val="001F1F75"/>
    <w:rsid w:val="00202273"/>
    <w:rsid w:val="0020325C"/>
    <w:rsid w:val="00213889"/>
    <w:rsid w:val="002143D5"/>
    <w:rsid w:val="0021799A"/>
    <w:rsid w:val="00220BC9"/>
    <w:rsid w:val="00221627"/>
    <w:rsid w:val="0022416D"/>
    <w:rsid w:val="002246DE"/>
    <w:rsid w:val="00224D87"/>
    <w:rsid w:val="00243843"/>
    <w:rsid w:val="00250FA2"/>
    <w:rsid w:val="002518F7"/>
    <w:rsid w:val="00257143"/>
    <w:rsid w:val="0026090A"/>
    <w:rsid w:val="00263772"/>
    <w:rsid w:val="00265A2C"/>
    <w:rsid w:val="0027028F"/>
    <w:rsid w:val="0027338D"/>
    <w:rsid w:val="00273BBB"/>
    <w:rsid w:val="00274293"/>
    <w:rsid w:val="002759D4"/>
    <w:rsid w:val="00281362"/>
    <w:rsid w:val="00286B56"/>
    <w:rsid w:val="00287135"/>
    <w:rsid w:val="00293456"/>
    <w:rsid w:val="002A746F"/>
    <w:rsid w:val="002A7EE5"/>
    <w:rsid w:val="002B145E"/>
    <w:rsid w:val="002C2441"/>
    <w:rsid w:val="002C2893"/>
    <w:rsid w:val="002C4A3E"/>
    <w:rsid w:val="002C68B3"/>
    <w:rsid w:val="002C7589"/>
    <w:rsid w:val="002D1E32"/>
    <w:rsid w:val="002D7B4D"/>
    <w:rsid w:val="002E27D4"/>
    <w:rsid w:val="002E310D"/>
    <w:rsid w:val="002E343C"/>
    <w:rsid w:val="002E4F3F"/>
    <w:rsid w:val="002F05B3"/>
    <w:rsid w:val="002F589D"/>
    <w:rsid w:val="002F7460"/>
    <w:rsid w:val="002F7B8F"/>
    <w:rsid w:val="00300207"/>
    <w:rsid w:val="0030447A"/>
    <w:rsid w:val="00305CE4"/>
    <w:rsid w:val="0031167C"/>
    <w:rsid w:val="0031301F"/>
    <w:rsid w:val="00313025"/>
    <w:rsid w:val="00313CC4"/>
    <w:rsid w:val="00324A04"/>
    <w:rsid w:val="00325DAB"/>
    <w:rsid w:val="00327D9D"/>
    <w:rsid w:val="00337283"/>
    <w:rsid w:val="00345E9E"/>
    <w:rsid w:val="003473EC"/>
    <w:rsid w:val="00350B5A"/>
    <w:rsid w:val="00351B85"/>
    <w:rsid w:val="00355DD6"/>
    <w:rsid w:val="0035707D"/>
    <w:rsid w:val="00357BA5"/>
    <w:rsid w:val="00357D3F"/>
    <w:rsid w:val="00362D42"/>
    <w:rsid w:val="00367363"/>
    <w:rsid w:val="0037011F"/>
    <w:rsid w:val="003736C0"/>
    <w:rsid w:val="00374DD0"/>
    <w:rsid w:val="00375B22"/>
    <w:rsid w:val="00376B51"/>
    <w:rsid w:val="003812CA"/>
    <w:rsid w:val="0039195A"/>
    <w:rsid w:val="003A05B5"/>
    <w:rsid w:val="003A1661"/>
    <w:rsid w:val="003A1A46"/>
    <w:rsid w:val="003A2F3E"/>
    <w:rsid w:val="003A65B6"/>
    <w:rsid w:val="003B441A"/>
    <w:rsid w:val="003C04E5"/>
    <w:rsid w:val="003C07A7"/>
    <w:rsid w:val="003C1A57"/>
    <w:rsid w:val="003C36A2"/>
    <w:rsid w:val="003C78C3"/>
    <w:rsid w:val="003C7B3C"/>
    <w:rsid w:val="003D1952"/>
    <w:rsid w:val="003D26D8"/>
    <w:rsid w:val="003D2A0C"/>
    <w:rsid w:val="003D32F0"/>
    <w:rsid w:val="003D44E7"/>
    <w:rsid w:val="003E00FE"/>
    <w:rsid w:val="003E08C5"/>
    <w:rsid w:val="003E4A43"/>
    <w:rsid w:val="003E546B"/>
    <w:rsid w:val="003E5B39"/>
    <w:rsid w:val="003F0E49"/>
    <w:rsid w:val="003F541D"/>
    <w:rsid w:val="00401BED"/>
    <w:rsid w:val="00401C82"/>
    <w:rsid w:val="00413DB6"/>
    <w:rsid w:val="004144B9"/>
    <w:rsid w:val="004144F2"/>
    <w:rsid w:val="004149D8"/>
    <w:rsid w:val="00414D67"/>
    <w:rsid w:val="00424AE5"/>
    <w:rsid w:val="0043057F"/>
    <w:rsid w:val="004308A9"/>
    <w:rsid w:val="00430E6D"/>
    <w:rsid w:val="004341D9"/>
    <w:rsid w:val="0043439A"/>
    <w:rsid w:val="00434EF3"/>
    <w:rsid w:val="004360B9"/>
    <w:rsid w:val="00437138"/>
    <w:rsid w:val="0044120D"/>
    <w:rsid w:val="00441648"/>
    <w:rsid w:val="00444EF5"/>
    <w:rsid w:val="00452F91"/>
    <w:rsid w:val="00457339"/>
    <w:rsid w:val="0046304B"/>
    <w:rsid w:val="00463D81"/>
    <w:rsid w:val="00466FCF"/>
    <w:rsid w:val="00470152"/>
    <w:rsid w:val="0047556F"/>
    <w:rsid w:val="0047673F"/>
    <w:rsid w:val="004767D6"/>
    <w:rsid w:val="004A5C4F"/>
    <w:rsid w:val="004A7C12"/>
    <w:rsid w:val="004B40D7"/>
    <w:rsid w:val="004C3FE2"/>
    <w:rsid w:val="004C4154"/>
    <w:rsid w:val="004C41E9"/>
    <w:rsid w:val="004C4B23"/>
    <w:rsid w:val="004C7D80"/>
    <w:rsid w:val="004D1FE6"/>
    <w:rsid w:val="004D3543"/>
    <w:rsid w:val="004D38DB"/>
    <w:rsid w:val="004D56A3"/>
    <w:rsid w:val="004D7899"/>
    <w:rsid w:val="004F693C"/>
    <w:rsid w:val="004F7A84"/>
    <w:rsid w:val="0050611B"/>
    <w:rsid w:val="00510AB0"/>
    <w:rsid w:val="00512D02"/>
    <w:rsid w:val="00517D43"/>
    <w:rsid w:val="00522153"/>
    <w:rsid w:val="00524DD7"/>
    <w:rsid w:val="00527F81"/>
    <w:rsid w:val="00530716"/>
    <w:rsid w:val="00533089"/>
    <w:rsid w:val="005340FE"/>
    <w:rsid w:val="00536BD4"/>
    <w:rsid w:val="005420EC"/>
    <w:rsid w:val="00542DA4"/>
    <w:rsid w:val="00544670"/>
    <w:rsid w:val="005464E6"/>
    <w:rsid w:val="00547DFF"/>
    <w:rsid w:val="0055611A"/>
    <w:rsid w:val="00560F3D"/>
    <w:rsid w:val="0056382D"/>
    <w:rsid w:val="0057491A"/>
    <w:rsid w:val="00574F8E"/>
    <w:rsid w:val="0057542B"/>
    <w:rsid w:val="00577F2C"/>
    <w:rsid w:val="00585493"/>
    <w:rsid w:val="00590AAC"/>
    <w:rsid w:val="00590CC8"/>
    <w:rsid w:val="005911DB"/>
    <w:rsid w:val="00593BF9"/>
    <w:rsid w:val="0059583C"/>
    <w:rsid w:val="005A3642"/>
    <w:rsid w:val="005A4D19"/>
    <w:rsid w:val="005A4E9C"/>
    <w:rsid w:val="005B0466"/>
    <w:rsid w:val="005B624A"/>
    <w:rsid w:val="005C4D87"/>
    <w:rsid w:val="005D5E1B"/>
    <w:rsid w:val="005D7350"/>
    <w:rsid w:val="005D79A5"/>
    <w:rsid w:val="005E1EFE"/>
    <w:rsid w:val="005E638A"/>
    <w:rsid w:val="005F02F7"/>
    <w:rsid w:val="005F1DEB"/>
    <w:rsid w:val="005F3257"/>
    <w:rsid w:val="005F37FD"/>
    <w:rsid w:val="005F7F86"/>
    <w:rsid w:val="00601335"/>
    <w:rsid w:val="00616463"/>
    <w:rsid w:val="00616604"/>
    <w:rsid w:val="006206B0"/>
    <w:rsid w:val="00630E99"/>
    <w:rsid w:val="00633095"/>
    <w:rsid w:val="00641308"/>
    <w:rsid w:val="00647168"/>
    <w:rsid w:val="006478D8"/>
    <w:rsid w:val="00656297"/>
    <w:rsid w:val="00656B89"/>
    <w:rsid w:val="00672430"/>
    <w:rsid w:val="00685486"/>
    <w:rsid w:val="00687D10"/>
    <w:rsid w:val="00692B85"/>
    <w:rsid w:val="00692FE9"/>
    <w:rsid w:val="0069404E"/>
    <w:rsid w:val="006A0E62"/>
    <w:rsid w:val="006A29AC"/>
    <w:rsid w:val="006A35E1"/>
    <w:rsid w:val="006A39DC"/>
    <w:rsid w:val="006A3DCD"/>
    <w:rsid w:val="006B0B98"/>
    <w:rsid w:val="006B195C"/>
    <w:rsid w:val="006B215D"/>
    <w:rsid w:val="006B2D0E"/>
    <w:rsid w:val="006B6C9C"/>
    <w:rsid w:val="006C4DCA"/>
    <w:rsid w:val="006C7A53"/>
    <w:rsid w:val="006D06F2"/>
    <w:rsid w:val="006D3929"/>
    <w:rsid w:val="006D5DC4"/>
    <w:rsid w:val="006D73B4"/>
    <w:rsid w:val="006D74EF"/>
    <w:rsid w:val="006E1B83"/>
    <w:rsid w:val="006E2C76"/>
    <w:rsid w:val="006E362B"/>
    <w:rsid w:val="006E5F19"/>
    <w:rsid w:val="006E6BB2"/>
    <w:rsid w:val="006E6FF2"/>
    <w:rsid w:val="006E743C"/>
    <w:rsid w:val="006F0D74"/>
    <w:rsid w:val="006F5012"/>
    <w:rsid w:val="00700EED"/>
    <w:rsid w:val="007056A2"/>
    <w:rsid w:val="00706347"/>
    <w:rsid w:val="00710ACD"/>
    <w:rsid w:val="007161FA"/>
    <w:rsid w:val="00723827"/>
    <w:rsid w:val="007275E0"/>
    <w:rsid w:val="00743268"/>
    <w:rsid w:val="0074423D"/>
    <w:rsid w:val="0074554D"/>
    <w:rsid w:val="00745F98"/>
    <w:rsid w:val="007478F0"/>
    <w:rsid w:val="00754CB0"/>
    <w:rsid w:val="00765B0C"/>
    <w:rsid w:val="007668D1"/>
    <w:rsid w:val="007747CE"/>
    <w:rsid w:val="00781437"/>
    <w:rsid w:val="00781854"/>
    <w:rsid w:val="00792BE3"/>
    <w:rsid w:val="00794646"/>
    <w:rsid w:val="007A0155"/>
    <w:rsid w:val="007B0B04"/>
    <w:rsid w:val="007B497C"/>
    <w:rsid w:val="007B554D"/>
    <w:rsid w:val="007B5E5C"/>
    <w:rsid w:val="007B5EA4"/>
    <w:rsid w:val="007C44C9"/>
    <w:rsid w:val="007C46A4"/>
    <w:rsid w:val="007D1082"/>
    <w:rsid w:val="007D26E1"/>
    <w:rsid w:val="007D49AC"/>
    <w:rsid w:val="007E29ED"/>
    <w:rsid w:val="007E513E"/>
    <w:rsid w:val="007F1092"/>
    <w:rsid w:val="007F4B4A"/>
    <w:rsid w:val="007F6ADC"/>
    <w:rsid w:val="0080292D"/>
    <w:rsid w:val="0080446A"/>
    <w:rsid w:val="00807B20"/>
    <w:rsid w:val="00810DE3"/>
    <w:rsid w:val="00811E63"/>
    <w:rsid w:val="00816F52"/>
    <w:rsid w:val="00817052"/>
    <w:rsid w:val="00825FFD"/>
    <w:rsid w:val="00830048"/>
    <w:rsid w:val="00830130"/>
    <w:rsid w:val="008347E7"/>
    <w:rsid w:val="00836C1E"/>
    <w:rsid w:val="00837108"/>
    <w:rsid w:val="00837FB9"/>
    <w:rsid w:val="008420CF"/>
    <w:rsid w:val="00844517"/>
    <w:rsid w:val="00846D53"/>
    <w:rsid w:val="008502A7"/>
    <w:rsid w:val="0085585C"/>
    <w:rsid w:val="008651BA"/>
    <w:rsid w:val="0086616F"/>
    <w:rsid w:val="008673C2"/>
    <w:rsid w:val="00870F0C"/>
    <w:rsid w:val="00872D3A"/>
    <w:rsid w:val="00881804"/>
    <w:rsid w:val="00882D58"/>
    <w:rsid w:val="00893AAD"/>
    <w:rsid w:val="00894CAC"/>
    <w:rsid w:val="0089594D"/>
    <w:rsid w:val="0089629F"/>
    <w:rsid w:val="008A3E94"/>
    <w:rsid w:val="008A7DC0"/>
    <w:rsid w:val="008B3FDA"/>
    <w:rsid w:val="008B6AC3"/>
    <w:rsid w:val="008B70BC"/>
    <w:rsid w:val="008C65F4"/>
    <w:rsid w:val="008D01A3"/>
    <w:rsid w:val="008D5DF4"/>
    <w:rsid w:val="008E0429"/>
    <w:rsid w:val="008E2125"/>
    <w:rsid w:val="008E4C41"/>
    <w:rsid w:val="008F11B1"/>
    <w:rsid w:val="008F1C28"/>
    <w:rsid w:val="008F20BA"/>
    <w:rsid w:val="008F5589"/>
    <w:rsid w:val="008F7FB7"/>
    <w:rsid w:val="00901582"/>
    <w:rsid w:val="0090392E"/>
    <w:rsid w:val="0091655C"/>
    <w:rsid w:val="009169D7"/>
    <w:rsid w:val="00920F95"/>
    <w:rsid w:val="00925317"/>
    <w:rsid w:val="009335F4"/>
    <w:rsid w:val="0093415B"/>
    <w:rsid w:val="00935E59"/>
    <w:rsid w:val="00936E8A"/>
    <w:rsid w:val="00942D4A"/>
    <w:rsid w:val="0094436C"/>
    <w:rsid w:val="009609EE"/>
    <w:rsid w:val="00967A03"/>
    <w:rsid w:val="009701BF"/>
    <w:rsid w:val="009723AA"/>
    <w:rsid w:val="00972EDB"/>
    <w:rsid w:val="009800C1"/>
    <w:rsid w:val="009805C2"/>
    <w:rsid w:val="00983069"/>
    <w:rsid w:val="00996FE4"/>
    <w:rsid w:val="009A2CFF"/>
    <w:rsid w:val="009A456A"/>
    <w:rsid w:val="009A5AE3"/>
    <w:rsid w:val="009A7E86"/>
    <w:rsid w:val="009C08C2"/>
    <w:rsid w:val="009D16BA"/>
    <w:rsid w:val="009D36DB"/>
    <w:rsid w:val="009D37CB"/>
    <w:rsid w:val="009D495C"/>
    <w:rsid w:val="009E1471"/>
    <w:rsid w:val="009E1FF5"/>
    <w:rsid w:val="009F03AD"/>
    <w:rsid w:val="009F31A3"/>
    <w:rsid w:val="009F31A7"/>
    <w:rsid w:val="009F345B"/>
    <w:rsid w:val="009F34C8"/>
    <w:rsid w:val="009F5C53"/>
    <w:rsid w:val="00A02470"/>
    <w:rsid w:val="00A040E4"/>
    <w:rsid w:val="00A05860"/>
    <w:rsid w:val="00A07248"/>
    <w:rsid w:val="00A1247D"/>
    <w:rsid w:val="00A13594"/>
    <w:rsid w:val="00A145D6"/>
    <w:rsid w:val="00A22E7F"/>
    <w:rsid w:val="00A273D6"/>
    <w:rsid w:val="00A27FA8"/>
    <w:rsid w:val="00A32F72"/>
    <w:rsid w:val="00A3587B"/>
    <w:rsid w:val="00A35E1B"/>
    <w:rsid w:val="00A37C3D"/>
    <w:rsid w:val="00A419E8"/>
    <w:rsid w:val="00A56343"/>
    <w:rsid w:val="00A57CB4"/>
    <w:rsid w:val="00A601C5"/>
    <w:rsid w:val="00A6337B"/>
    <w:rsid w:val="00A64959"/>
    <w:rsid w:val="00A65272"/>
    <w:rsid w:val="00A6534C"/>
    <w:rsid w:val="00A67DB1"/>
    <w:rsid w:val="00A72764"/>
    <w:rsid w:val="00A77A15"/>
    <w:rsid w:val="00A832B2"/>
    <w:rsid w:val="00A96387"/>
    <w:rsid w:val="00AA3442"/>
    <w:rsid w:val="00AA5365"/>
    <w:rsid w:val="00AA5E85"/>
    <w:rsid w:val="00AA7C69"/>
    <w:rsid w:val="00AB05E2"/>
    <w:rsid w:val="00AB6DDE"/>
    <w:rsid w:val="00AC0D87"/>
    <w:rsid w:val="00AC1AAA"/>
    <w:rsid w:val="00AC33D2"/>
    <w:rsid w:val="00AC70ED"/>
    <w:rsid w:val="00AD04BE"/>
    <w:rsid w:val="00AD4720"/>
    <w:rsid w:val="00AD4A2E"/>
    <w:rsid w:val="00AD527D"/>
    <w:rsid w:val="00AD5B0A"/>
    <w:rsid w:val="00AD71BC"/>
    <w:rsid w:val="00AE02F8"/>
    <w:rsid w:val="00AE3025"/>
    <w:rsid w:val="00AE43BF"/>
    <w:rsid w:val="00AF0C2F"/>
    <w:rsid w:val="00AF39FD"/>
    <w:rsid w:val="00AF64D6"/>
    <w:rsid w:val="00AF7D03"/>
    <w:rsid w:val="00B035F5"/>
    <w:rsid w:val="00B041B9"/>
    <w:rsid w:val="00B050B0"/>
    <w:rsid w:val="00B06411"/>
    <w:rsid w:val="00B142D6"/>
    <w:rsid w:val="00B14B71"/>
    <w:rsid w:val="00B15574"/>
    <w:rsid w:val="00B21B29"/>
    <w:rsid w:val="00B22BE3"/>
    <w:rsid w:val="00B2518E"/>
    <w:rsid w:val="00B3021B"/>
    <w:rsid w:val="00B304AB"/>
    <w:rsid w:val="00B37AF8"/>
    <w:rsid w:val="00B4431A"/>
    <w:rsid w:val="00B45AEF"/>
    <w:rsid w:val="00B51698"/>
    <w:rsid w:val="00B54045"/>
    <w:rsid w:val="00B54741"/>
    <w:rsid w:val="00B56654"/>
    <w:rsid w:val="00B606AA"/>
    <w:rsid w:val="00B6381A"/>
    <w:rsid w:val="00B73000"/>
    <w:rsid w:val="00B74DD3"/>
    <w:rsid w:val="00B81150"/>
    <w:rsid w:val="00B83476"/>
    <w:rsid w:val="00B8419D"/>
    <w:rsid w:val="00B84280"/>
    <w:rsid w:val="00B873FC"/>
    <w:rsid w:val="00B915C4"/>
    <w:rsid w:val="00B93157"/>
    <w:rsid w:val="00B96156"/>
    <w:rsid w:val="00BA25BE"/>
    <w:rsid w:val="00BA6E68"/>
    <w:rsid w:val="00BB31A7"/>
    <w:rsid w:val="00BC0AD5"/>
    <w:rsid w:val="00BC1817"/>
    <w:rsid w:val="00BC22CB"/>
    <w:rsid w:val="00BD15AE"/>
    <w:rsid w:val="00BD4AFD"/>
    <w:rsid w:val="00BD4C1B"/>
    <w:rsid w:val="00BD5EED"/>
    <w:rsid w:val="00BD6662"/>
    <w:rsid w:val="00BD66FD"/>
    <w:rsid w:val="00BD7523"/>
    <w:rsid w:val="00BE4748"/>
    <w:rsid w:val="00BE5043"/>
    <w:rsid w:val="00BE7396"/>
    <w:rsid w:val="00BF0B92"/>
    <w:rsid w:val="00BF2B4F"/>
    <w:rsid w:val="00BF4F83"/>
    <w:rsid w:val="00C07AF4"/>
    <w:rsid w:val="00C11AE6"/>
    <w:rsid w:val="00C1682F"/>
    <w:rsid w:val="00C255F7"/>
    <w:rsid w:val="00C2701C"/>
    <w:rsid w:val="00C27A4A"/>
    <w:rsid w:val="00C42958"/>
    <w:rsid w:val="00C429D8"/>
    <w:rsid w:val="00C437FF"/>
    <w:rsid w:val="00C446FC"/>
    <w:rsid w:val="00C455E7"/>
    <w:rsid w:val="00C457E7"/>
    <w:rsid w:val="00C4612C"/>
    <w:rsid w:val="00C4757E"/>
    <w:rsid w:val="00C50AEA"/>
    <w:rsid w:val="00C514E6"/>
    <w:rsid w:val="00C5169F"/>
    <w:rsid w:val="00C5282E"/>
    <w:rsid w:val="00C60187"/>
    <w:rsid w:val="00C63352"/>
    <w:rsid w:val="00C64D8B"/>
    <w:rsid w:val="00C66801"/>
    <w:rsid w:val="00C74FE5"/>
    <w:rsid w:val="00C83CA5"/>
    <w:rsid w:val="00C86C8D"/>
    <w:rsid w:val="00C87793"/>
    <w:rsid w:val="00C959F3"/>
    <w:rsid w:val="00C977F0"/>
    <w:rsid w:val="00C97FE9"/>
    <w:rsid w:val="00CA13D3"/>
    <w:rsid w:val="00CA754E"/>
    <w:rsid w:val="00CB2200"/>
    <w:rsid w:val="00CB622E"/>
    <w:rsid w:val="00CC41B5"/>
    <w:rsid w:val="00CC63D3"/>
    <w:rsid w:val="00CC7449"/>
    <w:rsid w:val="00CD180A"/>
    <w:rsid w:val="00CD2804"/>
    <w:rsid w:val="00CD2892"/>
    <w:rsid w:val="00CE785D"/>
    <w:rsid w:val="00CF0272"/>
    <w:rsid w:val="00CF2197"/>
    <w:rsid w:val="00D01E6F"/>
    <w:rsid w:val="00D025FE"/>
    <w:rsid w:val="00D03C65"/>
    <w:rsid w:val="00D04997"/>
    <w:rsid w:val="00D146C6"/>
    <w:rsid w:val="00D155AC"/>
    <w:rsid w:val="00D20EB1"/>
    <w:rsid w:val="00D2375D"/>
    <w:rsid w:val="00D24259"/>
    <w:rsid w:val="00D249ED"/>
    <w:rsid w:val="00D26388"/>
    <w:rsid w:val="00D3504A"/>
    <w:rsid w:val="00D40B8A"/>
    <w:rsid w:val="00D431AA"/>
    <w:rsid w:val="00D47B0F"/>
    <w:rsid w:val="00D55CA7"/>
    <w:rsid w:val="00D61592"/>
    <w:rsid w:val="00D631E4"/>
    <w:rsid w:val="00D6334D"/>
    <w:rsid w:val="00D65D2F"/>
    <w:rsid w:val="00D73791"/>
    <w:rsid w:val="00D74045"/>
    <w:rsid w:val="00D74613"/>
    <w:rsid w:val="00D814F2"/>
    <w:rsid w:val="00D82AE8"/>
    <w:rsid w:val="00D82F96"/>
    <w:rsid w:val="00D832CA"/>
    <w:rsid w:val="00D8375B"/>
    <w:rsid w:val="00D94F40"/>
    <w:rsid w:val="00DA3815"/>
    <w:rsid w:val="00DB1206"/>
    <w:rsid w:val="00DB1770"/>
    <w:rsid w:val="00DB1B48"/>
    <w:rsid w:val="00DB2058"/>
    <w:rsid w:val="00DB282D"/>
    <w:rsid w:val="00DB7333"/>
    <w:rsid w:val="00DC0E93"/>
    <w:rsid w:val="00DC13B8"/>
    <w:rsid w:val="00DC248C"/>
    <w:rsid w:val="00DC300B"/>
    <w:rsid w:val="00DC70F0"/>
    <w:rsid w:val="00DC7A9F"/>
    <w:rsid w:val="00DD2ACC"/>
    <w:rsid w:val="00DD325E"/>
    <w:rsid w:val="00DD4368"/>
    <w:rsid w:val="00DD4EDF"/>
    <w:rsid w:val="00DD71A1"/>
    <w:rsid w:val="00DE667B"/>
    <w:rsid w:val="00DF037F"/>
    <w:rsid w:val="00DF4B7A"/>
    <w:rsid w:val="00DF64BF"/>
    <w:rsid w:val="00DF6F2B"/>
    <w:rsid w:val="00E00583"/>
    <w:rsid w:val="00E06A27"/>
    <w:rsid w:val="00E12379"/>
    <w:rsid w:val="00E142DC"/>
    <w:rsid w:val="00E16D1F"/>
    <w:rsid w:val="00E253D6"/>
    <w:rsid w:val="00E26AB4"/>
    <w:rsid w:val="00E3408A"/>
    <w:rsid w:val="00E43782"/>
    <w:rsid w:val="00E45D0B"/>
    <w:rsid w:val="00E46868"/>
    <w:rsid w:val="00E4744C"/>
    <w:rsid w:val="00E479CA"/>
    <w:rsid w:val="00E5116B"/>
    <w:rsid w:val="00E51EED"/>
    <w:rsid w:val="00E57C6B"/>
    <w:rsid w:val="00E64BEB"/>
    <w:rsid w:val="00E7395A"/>
    <w:rsid w:val="00E76838"/>
    <w:rsid w:val="00E80855"/>
    <w:rsid w:val="00E80D87"/>
    <w:rsid w:val="00E837CB"/>
    <w:rsid w:val="00E90117"/>
    <w:rsid w:val="00E9091A"/>
    <w:rsid w:val="00E90F58"/>
    <w:rsid w:val="00E90FEF"/>
    <w:rsid w:val="00E910AB"/>
    <w:rsid w:val="00E94A55"/>
    <w:rsid w:val="00E94EC6"/>
    <w:rsid w:val="00E94F6A"/>
    <w:rsid w:val="00EA32DE"/>
    <w:rsid w:val="00EA53C9"/>
    <w:rsid w:val="00EA70C3"/>
    <w:rsid w:val="00EA70D7"/>
    <w:rsid w:val="00EB1834"/>
    <w:rsid w:val="00EB1D88"/>
    <w:rsid w:val="00EC2165"/>
    <w:rsid w:val="00ED1D16"/>
    <w:rsid w:val="00ED2251"/>
    <w:rsid w:val="00ED2739"/>
    <w:rsid w:val="00EE099D"/>
    <w:rsid w:val="00EE264A"/>
    <w:rsid w:val="00EE3A21"/>
    <w:rsid w:val="00EE4804"/>
    <w:rsid w:val="00EF07C2"/>
    <w:rsid w:val="00EF3B1C"/>
    <w:rsid w:val="00EF565D"/>
    <w:rsid w:val="00EF6EDD"/>
    <w:rsid w:val="00F014A2"/>
    <w:rsid w:val="00F01E34"/>
    <w:rsid w:val="00F11DE6"/>
    <w:rsid w:val="00F13E9E"/>
    <w:rsid w:val="00F13EF3"/>
    <w:rsid w:val="00F14184"/>
    <w:rsid w:val="00F14726"/>
    <w:rsid w:val="00F16012"/>
    <w:rsid w:val="00F217DC"/>
    <w:rsid w:val="00F222C2"/>
    <w:rsid w:val="00F230A7"/>
    <w:rsid w:val="00F2324E"/>
    <w:rsid w:val="00F2475D"/>
    <w:rsid w:val="00F260CE"/>
    <w:rsid w:val="00F2623F"/>
    <w:rsid w:val="00F271A3"/>
    <w:rsid w:val="00F303E0"/>
    <w:rsid w:val="00F32EDD"/>
    <w:rsid w:val="00F33AC5"/>
    <w:rsid w:val="00F3643E"/>
    <w:rsid w:val="00F466C0"/>
    <w:rsid w:val="00F47DBD"/>
    <w:rsid w:val="00F57168"/>
    <w:rsid w:val="00F574EF"/>
    <w:rsid w:val="00F61DE7"/>
    <w:rsid w:val="00F721C9"/>
    <w:rsid w:val="00F83AE4"/>
    <w:rsid w:val="00F84FDD"/>
    <w:rsid w:val="00F85FB3"/>
    <w:rsid w:val="00F9051C"/>
    <w:rsid w:val="00F9342A"/>
    <w:rsid w:val="00F939D8"/>
    <w:rsid w:val="00FA0BED"/>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4D4E"/>
    <w:rsid w:val="00FE7B36"/>
    <w:rsid w:val="00FF0E80"/>
    <w:rsid w:val="00FF58EC"/>
    <w:rsid w:val="00FF6C47"/>
    <w:rsid w:val="00FF79F2"/>
    <w:rsid w:val="06D268BD"/>
    <w:rsid w:val="090310E8"/>
    <w:rsid w:val="0C2C9F95"/>
    <w:rsid w:val="1397C368"/>
    <w:rsid w:val="17C5B2B1"/>
    <w:rsid w:val="1ABCEF04"/>
    <w:rsid w:val="1E381A7B"/>
    <w:rsid w:val="27BBBE1B"/>
    <w:rsid w:val="2D8F75FC"/>
    <w:rsid w:val="34FA99CF"/>
    <w:rsid w:val="36F0600B"/>
    <w:rsid w:val="38323A91"/>
    <w:rsid w:val="390D34A5"/>
    <w:rsid w:val="3E1F2950"/>
    <w:rsid w:val="3E8853B8"/>
    <w:rsid w:val="3FA3A55F"/>
    <w:rsid w:val="4060FE05"/>
    <w:rsid w:val="40931BCD"/>
    <w:rsid w:val="42A5D695"/>
    <w:rsid w:val="43B7B918"/>
    <w:rsid w:val="4438089C"/>
    <w:rsid w:val="44EBA9B9"/>
    <w:rsid w:val="465067E7"/>
    <w:rsid w:val="47DB2F47"/>
    <w:rsid w:val="487B4B01"/>
    <w:rsid w:val="49C2E703"/>
    <w:rsid w:val="4BE3520E"/>
    <w:rsid w:val="4C661D6B"/>
    <w:rsid w:val="503BC27E"/>
    <w:rsid w:val="504C2058"/>
    <w:rsid w:val="5548658A"/>
    <w:rsid w:val="56E799A6"/>
    <w:rsid w:val="58AB93B3"/>
    <w:rsid w:val="591B4A4B"/>
    <w:rsid w:val="5BD0CF6B"/>
    <w:rsid w:val="5C451CB5"/>
    <w:rsid w:val="64148F72"/>
    <w:rsid w:val="647B10F3"/>
    <w:rsid w:val="6E6B6CAC"/>
    <w:rsid w:val="6F1B67A0"/>
    <w:rsid w:val="776A4184"/>
    <w:rsid w:val="7F023531"/>
    <w:rsid w:val="7F563BE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413DB6"/>
    <w:pPr>
      <w:numPr>
        <w:numId w:val="13"/>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413DB6"/>
    <w:rPr>
      <w:rFonts w:asciiTheme="minorHAnsi" w:eastAsiaTheme="minorHAnsi" w:hAnsiTheme="minorHAnsi" w:cstheme="minorBidi"/>
      <w:sz w:val="22"/>
      <w:szCs w:val="22"/>
      <w:lang w:val="en-GB" w:eastAsia="en-US"/>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5D7350"/>
    <w:rPr>
      <w:rFonts w:eastAsia="Times New Roman"/>
      <w:sz w:val="22"/>
      <w:szCs w:val="22"/>
      <w:lang w:eastAsia="en-US"/>
    </w:rPr>
  </w:style>
  <w:style w:type="paragraph" w:styleId="Bezproreda">
    <w:name w:val="No Spacing"/>
    <w:basedOn w:val="Normal"/>
    <w:uiPriority w:val="1"/>
    <w:qFormat/>
    <w:rsid w:val="00BE5043"/>
    <w:pPr>
      <w:spacing w:after="0" w:line="240" w:lineRule="auto"/>
    </w:pPr>
    <w:rPr>
      <w:rFonts w:asciiTheme="minorHAnsi" w:eastAsiaTheme="minorEastAsia" w:hAnsiTheme="minorHAnsi" w:cstheme="minorBidi"/>
    </w:rPr>
  </w:style>
  <w:style w:type="paragraph" w:styleId="StandardWeb">
    <w:name w:val="Normal (Web)"/>
    <w:basedOn w:val="Normal"/>
    <w:uiPriority w:val="99"/>
    <w:unhideWhenUsed/>
    <w:rsid w:val="00037A71"/>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5197">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046322987">
      <w:bodyDiv w:val="1"/>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EAFB59F0BD9648A28D9367CEC38508" ma:contentTypeVersion="13" ma:contentTypeDescription="Create a new document." ma:contentTypeScope="" ma:versionID="55492d9078caa19b1b6dd2948a0e4a76">
  <xsd:schema xmlns:xsd="http://www.w3.org/2001/XMLSchema" xmlns:xs="http://www.w3.org/2001/XMLSchema" xmlns:p="http://schemas.microsoft.com/office/2006/metadata/properties" xmlns:ns3="8cf781c7-0a52-4929-9f18-71d8597cd17f" xmlns:ns4="27279f13-adac-4ab8-895b-a32ea6dcee40" targetNamespace="http://schemas.microsoft.com/office/2006/metadata/properties" ma:root="true" ma:fieldsID="79c6a9e4a5c06058f269f52a9dcb8b92" ns3:_="" ns4:_="">
    <xsd:import namespace="8cf781c7-0a52-4929-9f18-71d8597cd17f"/>
    <xsd:import namespace="27279f13-adac-4ab8-895b-a32ea6dce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781c7-0a52-4929-9f18-71d8597cd1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79f13-adac-4ab8-895b-a32ea6dcee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EAAD-9344-4547-BA1E-821FC132D9F0}">
  <ds:schemaRefs>
    <ds:schemaRef ds:uri="http://schemas.microsoft.com/office/infopath/2007/PartnerControls"/>
    <ds:schemaRef ds:uri="27279f13-adac-4ab8-895b-a32ea6dcee40"/>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8cf781c7-0a52-4929-9f18-71d8597cd17f"/>
    <ds:schemaRef ds:uri="http://purl.org/dc/elements/1.1/"/>
  </ds:schemaRefs>
</ds:datastoreItem>
</file>

<file path=customXml/itemProps2.xml><?xml version="1.0" encoding="utf-8"?>
<ds:datastoreItem xmlns:ds="http://schemas.openxmlformats.org/officeDocument/2006/customXml" ds:itemID="{001C1EE0-E403-4186-A5D0-F7940E756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781c7-0a52-4929-9f18-71d8597cd17f"/>
    <ds:schemaRef ds:uri="27279f13-adac-4ab8-895b-a32ea6dc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181FBEE3-DEDD-471D-ACED-A47BEA36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9065</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2021-06-23T07:18:00Z</dcterms:created>
  <dcterms:modified xsi:type="dcterms:W3CDTF">2021-06-23T07:45:00Z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0x01010099EAFB59F0BD9648A28D9367CEC38508</vt:lpwstr>
  </property>
</Properties>
</file>